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961" w:rsidRPr="001B0218" w:rsidRDefault="00CD6CB3" w:rsidP="00782258">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Pr="00CD6CB3">
        <w:rPr>
          <w:rFonts w:ascii="Arial" w:hAnsi="Arial" w:cs="Arial"/>
          <w:b/>
          <w:bCs/>
        </w:rPr>
        <w:t>Meeting</w:t>
      </w:r>
      <w:r w:rsidR="00EF0C2F">
        <w:rPr>
          <w:rFonts w:ascii="Arial" w:hAnsi="Arial" w:cs="Arial"/>
          <w:b/>
          <w:bCs/>
        </w:rPr>
        <w:t xml:space="preserve"> </w:t>
      </w:r>
      <w:r w:rsidR="00DB7E4D">
        <w:rPr>
          <w:rFonts w:ascii="Arial" w:hAnsi="Arial" w:cs="Arial"/>
          <w:b/>
          <w:bCs/>
        </w:rPr>
        <w:t>#</w:t>
      </w:r>
      <w:r w:rsidR="00782258">
        <w:rPr>
          <w:rFonts w:ascii="Arial" w:hAnsi="Arial" w:cs="Arial"/>
          <w:b/>
          <w:bCs/>
        </w:rPr>
        <w:t>89</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w:t>
      </w:r>
      <w:r w:rsidR="001F6415" w:rsidRPr="001F6415">
        <w:rPr>
          <w:rFonts w:ascii="Arial" w:eastAsia="MS Mincho" w:hAnsi="Arial" w:cs="Arial"/>
          <w:b/>
          <w:bCs/>
          <w:lang w:val="en-GB" w:eastAsia="ja-JP"/>
        </w:rPr>
        <w:t>R1-1707791</w:t>
      </w:r>
    </w:p>
    <w:p w:rsidR="00284961" w:rsidRPr="00284961" w:rsidRDefault="00782258" w:rsidP="00F77F65">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782258">
        <w:rPr>
          <w:rFonts w:ascii="Arial" w:eastAsia="MS Mincho" w:hAnsi="Arial" w:cs="Arial"/>
          <w:b/>
          <w:bCs/>
          <w:lang w:eastAsia="ja-JP"/>
        </w:rPr>
        <w:t>Hangzhou</w:t>
      </w:r>
      <w:r w:rsidR="00DB7E4D" w:rsidRPr="00DB7E4D">
        <w:rPr>
          <w:rFonts w:ascii="Arial" w:eastAsia="MS Mincho" w:hAnsi="Arial" w:cs="Arial"/>
          <w:b/>
          <w:bCs/>
          <w:lang w:eastAsia="ja-JP"/>
        </w:rPr>
        <w:t xml:space="preserve">, </w:t>
      </w:r>
      <w:r>
        <w:rPr>
          <w:rFonts w:ascii="Arial" w:eastAsia="MS Mincho" w:hAnsi="Arial" w:cs="Arial"/>
          <w:b/>
          <w:bCs/>
          <w:lang w:eastAsia="ja-JP"/>
        </w:rPr>
        <w:t>China 15th - 1</w:t>
      </w:r>
      <w:r w:rsidR="00AD3F5B">
        <w:rPr>
          <w:rFonts w:ascii="Arial" w:eastAsia="MS Mincho" w:hAnsi="Arial" w:cs="Arial"/>
          <w:b/>
          <w:bCs/>
          <w:lang w:eastAsia="ja-JP"/>
        </w:rPr>
        <w:t>9</w:t>
      </w:r>
      <w:r>
        <w:rPr>
          <w:rFonts w:ascii="Arial" w:eastAsia="MS Mincho" w:hAnsi="Arial" w:cs="Arial"/>
          <w:b/>
          <w:bCs/>
          <w:lang w:eastAsia="ja-JP"/>
        </w:rPr>
        <w:t>th May</w:t>
      </w:r>
      <w:r w:rsidR="00DB7E4D">
        <w:rPr>
          <w:rFonts w:ascii="Arial" w:eastAsia="MS Mincho" w:hAnsi="Arial" w:cs="Arial"/>
          <w:b/>
          <w:bCs/>
          <w:lang w:eastAsia="ja-JP"/>
        </w:rPr>
        <w:t xml:space="preserve"> </w:t>
      </w:r>
      <w:r w:rsidR="00EE255D" w:rsidRPr="00EE255D">
        <w:rPr>
          <w:rFonts w:ascii="Arial" w:eastAsia="MS Mincho" w:hAnsi="Arial" w:cs="Arial"/>
          <w:b/>
          <w:bCs/>
          <w:lang w:eastAsia="ja-JP"/>
        </w:rPr>
        <w:t>2017</w:t>
      </w:r>
    </w:p>
    <w:p w:rsidR="00284961" w:rsidRPr="00284961" w:rsidRDefault="00284961" w:rsidP="00284961">
      <w:pPr>
        <w:pBdr>
          <w:top w:val="single" w:sz="4" w:space="1" w:color="auto"/>
        </w:pBdr>
        <w:spacing w:after="0"/>
        <w:jc w:val="left"/>
        <w:rPr>
          <w:b/>
          <w:kern w:val="2"/>
          <w:lang w:eastAsia="zh-CN"/>
        </w:rPr>
      </w:pPr>
    </w:p>
    <w:p w:rsidR="00284961" w:rsidRPr="00BE6603" w:rsidRDefault="00BE6603" w:rsidP="00EE255D">
      <w:pPr>
        <w:spacing w:after="60"/>
        <w:jc w:val="left"/>
        <w:rPr>
          <w:rFonts w:ascii="Arial" w:eastAsia="Batang" w:hAnsi="Arial" w:cs="Arial"/>
          <w:b/>
          <w:bCs/>
          <w:lang w:val="en-GB"/>
        </w:rPr>
      </w:pPr>
      <w:r>
        <w:rPr>
          <w:rFonts w:ascii="Arial" w:eastAsia="Batang" w:hAnsi="Arial" w:cs="Arial"/>
          <w:b/>
          <w:bCs/>
          <w:lang w:val="en-GB"/>
        </w:rPr>
        <w:t xml:space="preserve">Agenda Item:  </w:t>
      </w:r>
      <w:r w:rsidR="00EF4DD3" w:rsidRPr="00EF4DD3">
        <w:rPr>
          <w:rFonts w:ascii="Arial" w:eastAsia="Batang" w:hAnsi="Arial" w:cs="Arial"/>
          <w:b/>
          <w:bCs/>
          <w:lang w:val="en-GB"/>
        </w:rPr>
        <w:t>7.1.3.1.1</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rsidR="00284961" w:rsidRPr="00BE6603" w:rsidRDefault="00284961" w:rsidP="00782258">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CA305B">
        <w:rPr>
          <w:rFonts w:ascii="Arial" w:eastAsia="Batang" w:hAnsi="Arial" w:cs="Arial"/>
          <w:b/>
          <w:bCs/>
          <w:lang w:val="en-GB"/>
        </w:rPr>
        <w:t xml:space="preserve">Discussion </w:t>
      </w:r>
      <w:r w:rsidR="00CA305B" w:rsidRPr="00CA305B">
        <w:rPr>
          <w:rFonts w:ascii="Arial" w:eastAsia="Batang" w:hAnsi="Arial" w:cs="Arial"/>
          <w:b/>
          <w:bCs/>
          <w:lang w:val="en-GB"/>
        </w:rPr>
        <w:t>o</w:t>
      </w:r>
      <w:r w:rsidR="00134C46" w:rsidRPr="00CA305B">
        <w:rPr>
          <w:rFonts w:ascii="Arial" w:eastAsia="Batang" w:hAnsi="Arial" w:cs="Arial"/>
          <w:b/>
          <w:bCs/>
          <w:lang w:val="en-GB"/>
        </w:rPr>
        <w:t>n</w:t>
      </w:r>
      <w:r w:rsidR="00CA305B" w:rsidRPr="00CA305B">
        <w:rPr>
          <w:rFonts w:ascii="Arial" w:eastAsia="Batang" w:hAnsi="Arial" w:cs="Arial"/>
          <w:b/>
          <w:bCs/>
          <w:lang w:val="en-GB"/>
        </w:rPr>
        <w:t xml:space="preserve"> NR-PDCCH structure</w:t>
      </w:r>
      <w:r w:rsidR="00134C46" w:rsidRPr="00CA305B">
        <w:rPr>
          <w:rFonts w:ascii="Arial" w:eastAsia="Batang" w:hAnsi="Arial" w:cs="Arial"/>
          <w:b/>
          <w:bCs/>
          <w:lang w:val="en-GB"/>
        </w:rPr>
        <w:t xml:space="preserve"> </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rsidR="00284961" w:rsidRPr="00AF261F" w:rsidRDefault="00284961" w:rsidP="00284961">
      <w:pPr>
        <w:pBdr>
          <w:bottom w:val="single" w:sz="4" w:space="1" w:color="auto"/>
        </w:pBdr>
        <w:spacing w:after="0"/>
        <w:jc w:val="left"/>
        <w:rPr>
          <w:b/>
          <w:sz w:val="16"/>
          <w:szCs w:val="16"/>
        </w:rPr>
      </w:pPr>
    </w:p>
    <w:p w:rsidR="00284961" w:rsidRDefault="00284961" w:rsidP="00284961">
      <w:pPr>
        <w:pStyle w:val="Heading1"/>
      </w:pPr>
      <w:bookmarkStart w:id="0" w:name="_Ref124589705"/>
      <w:bookmarkStart w:id="1" w:name="_Ref129681862"/>
      <w:r w:rsidRPr="00AF261F">
        <w:t>Introduction</w:t>
      </w:r>
      <w:bookmarkEnd w:id="0"/>
      <w:bookmarkEnd w:id="1"/>
    </w:p>
    <w:p w:rsidR="00933172" w:rsidRDefault="00CE4EAB" w:rsidP="00063295">
      <w:r>
        <w:t>Following agreements were made</w:t>
      </w:r>
      <w:r w:rsidR="002634E3">
        <w:t xml:space="preserve"> in WG1 meeting #88bis</w:t>
      </w:r>
      <w:r w:rsidR="00693D67">
        <w:t xml:space="preserve"> [1]</w:t>
      </w:r>
      <w:r w:rsidR="002634E3">
        <w:t>:</w:t>
      </w:r>
    </w:p>
    <w:p w:rsidR="00134C46" w:rsidRPr="004F2B42" w:rsidRDefault="00134C46" w:rsidP="00134C46">
      <w:pPr>
        <w:rPr>
          <w:b/>
          <w:szCs w:val="20"/>
          <w:u w:val="single"/>
        </w:rPr>
      </w:pPr>
      <w:r w:rsidRPr="004F2B42">
        <w:rPr>
          <w:rFonts w:eastAsia="MS Mincho" w:hint="eastAsia"/>
          <w:b/>
          <w:szCs w:val="20"/>
          <w:highlight w:val="green"/>
          <w:u w:val="single"/>
          <w:lang w:eastAsia="ja-JP"/>
        </w:rPr>
        <w:t>Agreement</w:t>
      </w:r>
      <w:r w:rsidRPr="004F2B42">
        <w:rPr>
          <w:b/>
          <w:szCs w:val="20"/>
          <w:highlight w:val="green"/>
          <w:u w:val="single"/>
        </w:rPr>
        <w:t>:</w:t>
      </w:r>
    </w:p>
    <w:p w:rsidR="00134C46" w:rsidRPr="0072303E" w:rsidRDefault="00134C46" w:rsidP="00134C46">
      <w:pPr>
        <w:contextualSpacing/>
        <w:rPr>
          <w:szCs w:val="20"/>
        </w:rPr>
      </w:pPr>
      <w:r w:rsidRPr="0072303E">
        <w:rPr>
          <w:szCs w:val="20"/>
        </w:rPr>
        <w:t>NR-PDCCH can be mapped contiguously or non-contiguously in frequency with localized or distributed mapping of REGs to a CCE (in the physical domain)</w:t>
      </w:r>
    </w:p>
    <w:p w:rsidR="00134C46" w:rsidRPr="0072303E" w:rsidRDefault="00134C46" w:rsidP="00134C46">
      <w:pPr>
        <w:pStyle w:val="ListParagraph"/>
        <w:numPr>
          <w:ilvl w:val="0"/>
          <w:numId w:val="37"/>
        </w:numPr>
        <w:autoSpaceDE/>
        <w:autoSpaceDN/>
        <w:adjustRightInd/>
        <w:snapToGrid/>
        <w:spacing w:after="0"/>
        <w:ind w:firstLineChars="0"/>
        <w:contextualSpacing/>
        <w:jc w:val="left"/>
        <w:rPr>
          <w:szCs w:val="20"/>
        </w:rPr>
      </w:pPr>
      <w:r w:rsidRPr="0072303E">
        <w:rPr>
          <w:szCs w:val="20"/>
        </w:rPr>
        <w:t xml:space="preserve">Note: The number of contiguous REGs in the CCE needs further discussion. </w:t>
      </w:r>
    </w:p>
    <w:p w:rsidR="00134C46" w:rsidRPr="0072303E" w:rsidRDefault="00134C46" w:rsidP="00134C46">
      <w:pPr>
        <w:pStyle w:val="ListParagraph"/>
        <w:numPr>
          <w:ilvl w:val="0"/>
          <w:numId w:val="37"/>
        </w:numPr>
        <w:autoSpaceDE/>
        <w:autoSpaceDN/>
        <w:adjustRightInd/>
        <w:snapToGrid/>
        <w:spacing w:after="0"/>
        <w:ind w:firstLineChars="0"/>
        <w:contextualSpacing/>
        <w:jc w:val="left"/>
        <w:rPr>
          <w:szCs w:val="20"/>
        </w:rPr>
      </w:pPr>
      <w:r w:rsidRPr="009346BD">
        <w:rPr>
          <w:rFonts w:eastAsia="MS Mincho" w:hint="eastAsia"/>
          <w:szCs w:val="20"/>
          <w:lang w:eastAsia="ja-JP"/>
        </w:rPr>
        <w:t>Note: Localized/</w:t>
      </w:r>
      <w:r w:rsidRPr="0072303E">
        <w:rPr>
          <w:szCs w:val="20"/>
        </w:rPr>
        <w:t>distributed mapping</w:t>
      </w:r>
      <w:r w:rsidRPr="009346BD">
        <w:rPr>
          <w:rFonts w:eastAsia="MS Mincho" w:hint="eastAsia"/>
          <w:szCs w:val="20"/>
          <w:lang w:eastAsia="ja-JP"/>
        </w:rPr>
        <w:t xml:space="preserve"> can be achieved without/with interleaving.</w:t>
      </w:r>
    </w:p>
    <w:p w:rsidR="00134C46" w:rsidRDefault="00134C46" w:rsidP="00063295"/>
    <w:p w:rsidR="00E25530" w:rsidRPr="004F2B42" w:rsidRDefault="00E25530" w:rsidP="00E25530">
      <w:pPr>
        <w:rPr>
          <w:rFonts w:eastAsia="MS Mincho"/>
          <w:b/>
          <w:iCs/>
          <w:u w:val="single"/>
          <w:lang w:eastAsia="ja-JP"/>
        </w:rPr>
      </w:pPr>
      <w:r w:rsidRPr="004F2B42">
        <w:rPr>
          <w:rFonts w:eastAsia="MS Mincho" w:hint="eastAsia"/>
          <w:b/>
          <w:iCs/>
          <w:highlight w:val="green"/>
          <w:u w:val="single"/>
          <w:lang w:eastAsia="ja-JP"/>
        </w:rPr>
        <w:t>Agreements:</w:t>
      </w:r>
    </w:p>
    <w:p w:rsidR="00E25530" w:rsidRDefault="00E25530" w:rsidP="00E25530">
      <w:pPr>
        <w:numPr>
          <w:ilvl w:val="0"/>
          <w:numId w:val="38"/>
        </w:numPr>
        <w:autoSpaceDE/>
        <w:autoSpaceDN/>
        <w:adjustRightInd/>
        <w:snapToGrid/>
        <w:spacing w:after="0" w:line="276" w:lineRule="auto"/>
        <w:ind w:hanging="357"/>
        <w:jc w:val="left"/>
      </w:pPr>
      <w:r>
        <w:t>A CCE may be mapped to REGs with interleaved or non-interleaved REG indices within a CORESET</w:t>
      </w:r>
    </w:p>
    <w:p w:rsidR="00E25530" w:rsidRPr="002A63CD" w:rsidRDefault="00E25530" w:rsidP="00E25530">
      <w:pPr>
        <w:numPr>
          <w:ilvl w:val="0"/>
          <w:numId w:val="38"/>
        </w:numPr>
        <w:autoSpaceDE/>
        <w:autoSpaceDN/>
        <w:adjustRightInd/>
        <w:snapToGrid/>
        <w:spacing w:after="0" w:line="276" w:lineRule="auto"/>
        <w:ind w:hanging="357"/>
        <w:jc w:val="left"/>
      </w:pPr>
      <w:r w:rsidRPr="002A63CD">
        <w:rPr>
          <w:rFonts w:eastAsia="MS Mincho"/>
          <w:iCs/>
          <w:szCs w:val="20"/>
          <w:lang w:eastAsia="ja-JP"/>
        </w:rPr>
        <w:t xml:space="preserve">Definition of a REG bundle: The UE may assume that the same precoder is used for the REGs in a REG bundle and that the REGs in a REG bundle are contiguous in frequency and/or time </w:t>
      </w:r>
    </w:p>
    <w:p w:rsidR="00E25530" w:rsidRPr="00B23927" w:rsidRDefault="00E25530" w:rsidP="00E25530">
      <w:pPr>
        <w:numPr>
          <w:ilvl w:val="0"/>
          <w:numId w:val="38"/>
        </w:numPr>
        <w:autoSpaceDE/>
        <w:autoSpaceDN/>
        <w:adjustRightInd/>
        <w:snapToGrid/>
        <w:spacing w:after="0" w:line="276" w:lineRule="auto"/>
        <w:ind w:hanging="357"/>
        <w:jc w:val="left"/>
      </w:pPr>
      <w:r>
        <w:rPr>
          <w:rFonts w:eastAsia="MS Mincho"/>
          <w:iCs/>
          <w:szCs w:val="20"/>
          <w:lang w:eastAsia="ja-JP"/>
        </w:rPr>
        <w:t>REG bundling per CCE is supported</w:t>
      </w:r>
      <w:r w:rsidRPr="0072303E">
        <w:rPr>
          <w:rFonts w:eastAsia="MS Mincho"/>
          <w:iCs/>
          <w:szCs w:val="20"/>
          <w:lang w:eastAsia="ja-JP"/>
        </w:rPr>
        <w:t xml:space="preserve"> for NR-PDCCH</w:t>
      </w:r>
    </w:p>
    <w:p w:rsidR="00E25530" w:rsidRDefault="00E25530" w:rsidP="00E25530">
      <w:pPr>
        <w:numPr>
          <w:ilvl w:val="1"/>
          <w:numId w:val="38"/>
        </w:numPr>
        <w:autoSpaceDE/>
        <w:autoSpaceDN/>
        <w:adjustRightInd/>
        <w:snapToGrid/>
        <w:spacing w:after="0" w:line="276" w:lineRule="auto"/>
        <w:ind w:hanging="357"/>
        <w:jc w:val="left"/>
      </w:pPr>
      <w:r>
        <w:t>FFS: Whether this applies to common search space</w:t>
      </w:r>
    </w:p>
    <w:p w:rsidR="00E25530" w:rsidRPr="002A63CD" w:rsidRDefault="00E25530" w:rsidP="00E25530">
      <w:pPr>
        <w:numPr>
          <w:ilvl w:val="1"/>
          <w:numId w:val="38"/>
        </w:numPr>
        <w:autoSpaceDE/>
        <w:autoSpaceDN/>
        <w:adjustRightInd/>
        <w:snapToGrid/>
        <w:spacing w:after="0" w:line="276" w:lineRule="auto"/>
        <w:ind w:hanging="357"/>
        <w:jc w:val="left"/>
      </w:pPr>
      <w:r>
        <w:rPr>
          <w:rFonts w:eastAsia="MS Mincho"/>
          <w:iCs/>
          <w:szCs w:val="20"/>
          <w:lang w:eastAsia="ja-JP"/>
        </w:rPr>
        <w:t>FFS: Whether all REGs have DMRS or not</w:t>
      </w:r>
    </w:p>
    <w:p w:rsidR="00E25530" w:rsidRPr="004B517E" w:rsidRDefault="00E25530" w:rsidP="00E25530">
      <w:pPr>
        <w:numPr>
          <w:ilvl w:val="1"/>
          <w:numId w:val="38"/>
        </w:numPr>
        <w:autoSpaceDE/>
        <w:autoSpaceDN/>
        <w:adjustRightInd/>
        <w:snapToGrid/>
        <w:spacing w:after="0" w:line="276" w:lineRule="auto"/>
        <w:ind w:hanging="357"/>
        <w:jc w:val="left"/>
      </w:pPr>
      <w:r>
        <w:t>FFS: Whether wideband precoding is supported and the definition of a REG bundle if it is supported</w:t>
      </w:r>
    </w:p>
    <w:p w:rsidR="00E25530" w:rsidRDefault="00E25530" w:rsidP="00E25530">
      <w:pPr>
        <w:numPr>
          <w:ilvl w:val="1"/>
          <w:numId w:val="38"/>
        </w:numPr>
        <w:autoSpaceDE/>
        <w:autoSpaceDN/>
        <w:adjustRightInd/>
        <w:snapToGrid/>
        <w:spacing w:after="0" w:line="276" w:lineRule="auto"/>
        <w:ind w:hanging="357"/>
        <w:jc w:val="left"/>
      </w:pPr>
      <w:r>
        <w:t xml:space="preserve">FFS: whether REG bundle size is different for mapping of NR-PDCCH with or without interleaved mapping of CCE to REGs </w:t>
      </w:r>
    </w:p>
    <w:p w:rsidR="00E25530" w:rsidRPr="00597176" w:rsidRDefault="00E25530" w:rsidP="00E25530">
      <w:pPr>
        <w:numPr>
          <w:ilvl w:val="1"/>
          <w:numId w:val="38"/>
        </w:numPr>
        <w:autoSpaceDE/>
        <w:autoSpaceDN/>
        <w:adjustRightInd/>
        <w:snapToGrid/>
        <w:spacing w:after="0" w:line="276" w:lineRule="auto"/>
        <w:ind w:hanging="357"/>
        <w:jc w:val="left"/>
      </w:pPr>
      <w:r>
        <w:t>FFS on REG bundle</w:t>
      </w:r>
      <w:r w:rsidRPr="00597176">
        <w:t xml:space="preserve"> size</w:t>
      </w:r>
    </w:p>
    <w:p w:rsidR="00E25530" w:rsidRPr="00597176" w:rsidRDefault="00E25530" w:rsidP="00E25530">
      <w:pPr>
        <w:numPr>
          <w:ilvl w:val="1"/>
          <w:numId w:val="38"/>
        </w:numPr>
        <w:autoSpaceDE/>
        <w:autoSpaceDN/>
        <w:adjustRightInd/>
        <w:snapToGrid/>
        <w:spacing w:after="0" w:line="276" w:lineRule="auto"/>
        <w:ind w:hanging="357"/>
        <w:jc w:val="left"/>
      </w:pPr>
      <w:r>
        <w:t>FFS whether REG bundle</w:t>
      </w:r>
      <w:r w:rsidRPr="00597176">
        <w:t xml:space="preserve"> size is configurable</w:t>
      </w:r>
    </w:p>
    <w:p w:rsidR="00E25530" w:rsidRDefault="00E25530" w:rsidP="00063295"/>
    <w:p w:rsidR="00131F60" w:rsidRPr="00AD4D47" w:rsidRDefault="00131F60" w:rsidP="00131F60">
      <w:pPr>
        <w:rPr>
          <w:rFonts w:eastAsia="MS Mincho"/>
          <w:b/>
          <w:iCs/>
          <w:u w:val="single"/>
          <w:lang w:eastAsia="ja-JP"/>
        </w:rPr>
      </w:pPr>
      <w:r w:rsidRPr="00F665C0">
        <w:rPr>
          <w:rFonts w:eastAsia="MS Mincho" w:hint="eastAsia"/>
          <w:b/>
          <w:iCs/>
          <w:highlight w:val="darkYellow"/>
          <w:u w:val="single"/>
          <w:lang w:eastAsia="ja-JP"/>
        </w:rPr>
        <w:t>Working assumption</w:t>
      </w:r>
      <w:r w:rsidRPr="00F665C0">
        <w:rPr>
          <w:rFonts w:eastAsia="MS Mincho"/>
          <w:b/>
          <w:iCs/>
          <w:highlight w:val="darkYellow"/>
          <w:u w:val="single"/>
          <w:lang w:eastAsia="ja-JP"/>
        </w:rPr>
        <w:t>:</w:t>
      </w:r>
    </w:p>
    <w:p w:rsidR="00131F60" w:rsidRPr="00966F79" w:rsidRDefault="00131F60" w:rsidP="00131F60">
      <w:pPr>
        <w:numPr>
          <w:ilvl w:val="1"/>
          <w:numId w:val="39"/>
        </w:numPr>
        <w:autoSpaceDE/>
        <w:autoSpaceDN/>
        <w:adjustRightInd/>
        <w:snapToGrid/>
        <w:spacing w:after="0"/>
        <w:jc w:val="left"/>
        <w:rPr>
          <w:rFonts w:eastAsia="MS Mincho"/>
          <w:iCs/>
          <w:szCs w:val="20"/>
          <w:lang w:eastAsia="ja-JP"/>
        </w:rPr>
      </w:pPr>
      <w:r w:rsidRPr="00966F79">
        <w:rPr>
          <w:rFonts w:eastAsia="MS Mincho"/>
          <w:iCs/>
          <w:szCs w:val="20"/>
          <w:lang w:eastAsia="ja-JP"/>
        </w:rPr>
        <w:t>A NR-CCE is defined as 6 REGs</w:t>
      </w:r>
    </w:p>
    <w:p w:rsidR="00131F60" w:rsidRPr="00966F79" w:rsidRDefault="00131F60" w:rsidP="00131F60">
      <w:pPr>
        <w:numPr>
          <w:ilvl w:val="2"/>
          <w:numId w:val="39"/>
        </w:numPr>
        <w:autoSpaceDE/>
        <w:autoSpaceDN/>
        <w:adjustRightInd/>
        <w:snapToGrid/>
        <w:spacing w:after="0"/>
        <w:jc w:val="left"/>
        <w:rPr>
          <w:rFonts w:eastAsia="MS Mincho"/>
          <w:iCs/>
          <w:szCs w:val="20"/>
          <w:lang w:eastAsia="ja-JP"/>
        </w:rPr>
      </w:pPr>
      <w:r w:rsidRPr="00966F79">
        <w:rPr>
          <w:rFonts w:eastAsia="MS Mincho"/>
          <w:iCs/>
          <w:szCs w:val="20"/>
          <w:lang w:eastAsia="ja-JP"/>
        </w:rPr>
        <w:t>Candidate bundle sizes for distributed REG-to-CCE mapping: 2 or 3 REGs if NR-CCE is defined as 6 REGs</w:t>
      </w:r>
    </w:p>
    <w:p w:rsidR="00131F60" w:rsidRPr="00966F79" w:rsidRDefault="00131F60" w:rsidP="00131F60">
      <w:pPr>
        <w:numPr>
          <w:ilvl w:val="1"/>
          <w:numId w:val="39"/>
        </w:numPr>
        <w:autoSpaceDE/>
        <w:autoSpaceDN/>
        <w:adjustRightInd/>
        <w:snapToGrid/>
        <w:spacing w:after="0"/>
        <w:jc w:val="left"/>
        <w:rPr>
          <w:rFonts w:eastAsia="MS Mincho"/>
          <w:iCs/>
          <w:szCs w:val="20"/>
          <w:lang w:eastAsia="ja-JP"/>
        </w:rPr>
      </w:pPr>
      <w:r w:rsidRPr="00966F79">
        <w:rPr>
          <w:rFonts w:eastAsia="MS Mincho"/>
          <w:iCs/>
          <w:szCs w:val="20"/>
          <w:lang w:eastAsia="ja-JP"/>
        </w:rPr>
        <w:t>FFS: impact of the NR-CCE definition on CORESET size, CCE aggregation levels, data resource allocation granularity, etc.</w:t>
      </w:r>
    </w:p>
    <w:p w:rsidR="00131F60" w:rsidRDefault="00131F60" w:rsidP="00063295"/>
    <w:p w:rsidR="00FD2C94" w:rsidRDefault="00FD2C94">
      <w:pPr>
        <w:autoSpaceDE/>
        <w:autoSpaceDN/>
        <w:adjustRightInd/>
        <w:snapToGrid/>
        <w:spacing w:after="0"/>
        <w:jc w:val="left"/>
        <w:rPr>
          <w:b/>
          <w:bCs/>
          <w:sz w:val="28"/>
          <w:szCs w:val="28"/>
        </w:rPr>
      </w:pPr>
      <w:r>
        <w:br w:type="page"/>
      </w:r>
    </w:p>
    <w:p w:rsidR="00063295" w:rsidRDefault="00FD2C94" w:rsidP="00CE5ED3">
      <w:pPr>
        <w:pStyle w:val="Heading1"/>
      </w:pPr>
      <w:r>
        <w:lastRenderedPageBreak/>
        <w:t>NR-PDCCH</w:t>
      </w:r>
      <w:r w:rsidR="008F4C63">
        <w:t xml:space="preserve"> structure</w:t>
      </w:r>
    </w:p>
    <w:p w:rsidR="00FD2C94" w:rsidRDefault="00CE4EAB" w:rsidP="00FD2C94">
      <w:r>
        <w:t>Based on the current agreements,</w:t>
      </w:r>
      <w:r w:rsidRPr="00C3641B">
        <w:t xml:space="preserve"> </w:t>
      </w:r>
      <w:r>
        <w:t>the NR-PDCCH “logical” structure is shown in the following figures assuming that the NR-CCE consists of 6 NR-REGs with 2 and 3 NR-REG bundling. Logical structure means that the figures do not take into account the physical position of NR-REG bundles either in time or in frequency.</w:t>
      </w:r>
    </w:p>
    <w:p w:rsidR="006A741C" w:rsidRDefault="00362A3C" w:rsidP="006A741C">
      <w:pPr>
        <w:keepNext/>
        <w:jc w:val="center"/>
      </w:pPr>
      <w:r w:rsidRPr="00362A3C">
        <w:rPr>
          <w:noProof/>
          <w:lang w:val="en-GB" w:eastAsia="zh-CN"/>
        </w:rPr>
        <w:drawing>
          <wp:inline distT="0" distB="0" distL="0" distR="0" wp14:anchorId="1F37ECB7" wp14:editId="6D74F3BF">
            <wp:extent cx="3614400" cy="327960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14400" cy="3279600"/>
                    </a:xfrm>
                    <a:prstGeom prst="rect">
                      <a:avLst/>
                    </a:prstGeom>
                  </pic:spPr>
                </pic:pic>
              </a:graphicData>
            </a:graphic>
          </wp:inline>
        </w:drawing>
      </w:r>
    </w:p>
    <w:p w:rsidR="00676C5E" w:rsidRPr="00FD2C94" w:rsidRDefault="006A741C" w:rsidP="006A741C">
      <w:pPr>
        <w:pStyle w:val="Caption"/>
      </w:pPr>
      <w:bookmarkStart w:id="2" w:name="_Ref481483555"/>
      <w:r>
        <w:t xml:space="preserve">Figure </w:t>
      </w:r>
      <w:r>
        <w:fldChar w:fldCharType="begin"/>
      </w:r>
      <w:r>
        <w:instrText xml:space="preserve"> SEQ Figure \* ARABIC </w:instrText>
      </w:r>
      <w:r>
        <w:fldChar w:fldCharType="separate"/>
      </w:r>
      <w:r w:rsidR="00063B47">
        <w:rPr>
          <w:noProof/>
        </w:rPr>
        <w:t>1</w:t>
      </w:r>
      <w:r>
        <w:fldChar w:fldCharType="end"/>
      </w:r>
      <w:bookmarkEnd w:id="2"/>
      <w:r w:rsidR="00E279E2">
        <w:t xml:space="preserve"> Localized NR-REG to NR-CCE mapping</w:t>
      </w:r>
    </w:p>
    <w:p w:rsidR="006A741C" w:rsidRDefault="00362A3C" w:rsidP="006A741C">
      <w:pPr>
        <w:keepNext/>
        <w:jc w:val="center"/>
      </w:pPr>
      <w:r w:rsidRPr="00362A3C">
        <w:rPr>
          <w:noProof/>
          <w:lang w:val="en-GB" w:eastAsia="zh-CN"/>
        </w:rPr>
        <w:drawing>
          <wp:inline distT="0" distB="0" distL="0" distR="0" wp14:anchorId="22CA3F48" wp14:editId="3AB7DA74">
            <wp:extent cx="3715200" cy="327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15200" cy="3279600"/>
                    </a:xfrm>
                    <a:prstGeom prst="rect">
                      <a:avLst/>
                    </a:prstGeom>
                  </pic:spPr>
                </pic:pic>
              </a:graphicData>
            </a:graphic>
          </wp:inline>
        </w:drawing>
      </w:r>
    </w:p>
    <w:p w:rsidR="00FB2B67" w:rsidRPr="00FB2B67" w:rsidRDefault="006A741C" w:rsidP="006A741C">
      <w:pPr>
        <w:pStyle w:val="Caption"/>
      </w:pPr>
      <w:bookmarkStart w:id="3" w:name="_Ref481483560"/>
      <w:r>
        <w:t xml:space="preserve">Figure </w:t>
      </w:r>
      <w:r>
        <w:fldChar w:fldCharType="begin"/>
      </w:r>
      <w:r>
        <w:instrText xml:space="preserve"> SEQ Figure \* ARABIC </w:instrText>
      </w:r>
      <w:r>
        <w:fldChar w:fldCharType="separate"/>
      </w:r>
      <w:r w:rsidR="00063B47">
        <w:rPr>
          <w:noProof/>
        </w:rPr>
        <w:t>2</w:t>
      </w:r>
      <w:r>
        <w:fldChar w:fldCharType="end"/>
      </w:r>
      <w:bookmarkEnd w:id="3"/>
      <w:r w:rsidR="00E279E2">
        <w:t xml:space="preserve"> Distributed NR-REG to NR-CCE mapping</w:t>
      </w:r>
    </w:p>
    <w:p w:rsidR="00D96D5E" w:rsidRDefault="00D96D5E" w:rsidP="00D96D5E">
      <w:pPr>
        <w:contextualSpacing/>
        <w:rPr>
          <w:szCs w:val="20"/>
        </w:rPr>
      </w:pPr>
      <w:r>
        <w:t xml:space="preserve">It was agreed that </w:t>
      </w:r>
      <w:r w:rsidRPr="0072303E">
        <w:rPr>
          <w:szCs w:val="20"/>
        </w:rPr>
        <w:t xml:space="preserve">NR-PDCCH can be mapped contiguously or non-contiguously in frequency with localized or distributed mapping of </w:t>
      </w:r>
      <w:r>
        <w:rPr>
          <w:szCs w:val="20"/>
        </w:rPr>
        <w:t>NR-</w:t>
      </w:r>
      <w:r w:rsidRPr="0072303E">
        <w:rPr>
          <w:szCs w:val="20"/>
        </w:rPr>
        <w:t xml:space="preserve">REGs to a </w:t>
      </w:r>
      <w:r>
        <w:rPr>
          <w:szCs w:val="20"/>
        </w:rPr>
        <w:t>NR-</w:t>
      </w:r>
      <w:r w:rsidRPr="0072303E">
        <w:rPr>
          <w:szCs w:val="20"/>
        </w:rPr>
        <w:t>CCE (in the physical domain)</w:t>
      </w:r>
      <w:r>
        <w:rPr>
          <w:szCs w:val="20"/>
        </w:rPr>
        <w:t xml:space="preserve">. </w:t>
      </w:r>
      <w:r>
        <w:rPr>
          <w:szCs w:val="20"/>
        </w:rPr>
        <w:lastRenderedPageBreak/>
        <w:t>Contiguous or non-contiguous mapping can be implemented by mapping logical NR-REG bundles to physical NR-REG bundle positions in NR-resource grid.</w:t>
      </w:r>
    </w:p>
    <w:p w:rsidR="00624EA0" w:rsidRDefault="00624EA0" w:rsidP="00D96D5E">
      <w:pPr>
        <w:contextualSpacing/>
        <w:rPr>
          <w:szCs w:val="20"/>
        </w:rPr>
      </w:pPr>
    </w:p>
    <w:p w:rsidR="00711BCE" w:rsidRDefault="00D96D5E" w:rsidP="00D96D5E">
      <w:pPr>
        <w:contextualSpacing/>
        <w:rPr>
          <w:szCs w:val="20"/>
        </w:rPr>
      </w:pPr>
      <w:r>
        <w:rPr>
          <w:szCs w:val="20"/>
        </w:rPr>
        <w:t>In both localized and distributed NR-REG to NR-CCE mappings there are three basic parameters to be implicitly or explicitly</w:t>
      </w:r>
      <w:r w:rsidR="00711BCE">
        <w:rPr>
          <w:szCs w:val="20"/>
        </w:rPr>
        <w:t xml:space="preserve"> signaled to UE:</w:t>
      </w:r>
    </w:p>
    <w:p w:rsidR="00D96D5E" w:rsidRDefault="00711BCE" w:rsidP="00711BCE">
      <w:pPr>
        <w:pStyle w:val="ListParagraph"/>
        <w:numPr>
          <w:ilvl w:val="0"/>
          <w:numId w:val="40"/>
        </w:numPr>
        <w:ind w:firstLineChars="0"/>
        <w:contextualSpacing/>
        <w:rPr>
          <w:szCs w:val="20"/>
        </w:rPr>
      </w:pPr>
      <w:r>
        <w:rPr>
          <w:szCs w:val="20"/>
        </w:rPr>
        <w:t>Bundling size</w:t>
      </w:r>
    </w:p>
    <w:p w:rsidR="00711BCE" w:rsidRDefault="00711BCE" w:rsidP="00711BCE">
      <w:pPr>
        <w:pStyle w:val="ListParagraph"/>
        <w:numPr>
          <w:ilvl w:val="0"/>
          <w:numId w:val="40"/>
        </w:numPr>
        <w:ind w:firstLineChars="0"/>
        <w:contextualSpacing/>
        <w:rPr>
          <w:szCs w:val="20"/>
        </w:rPr>
      </w:pPr>
      <w:r>
        <w:rPr>
          <w:szCs w:val="20"/>
        </w:rPr>
        <w:t>Frequency or time-first NR-REG to NR-CCE mapping direction</w:t>
      </w:r>
    </w:p>
    <w:p w:rsidR="00711BCE" w:rsidRDefault="00711BCE" w:rsidP="00711BCE">
      <w:pPr>
        <w:pStyle w:val="ListParagraph"/>
        <w:numPr>
          <w:ilvl w:val="0"/>
          <w:numId w:val="40"/>
        </w:numPr>
        <w:ind w:firstLineChars="0"/>
        <w:contextualSpacing/>
        <w:rPr>
          <w:szCs w:val="20"/>
        </w:rPr>
      </w:pPr>
      <w:r>
        <w:rPr>
          <w:szCs w:val="20"/>
        </w:rPr>
        <w:t>Physical NR-REG bundle positions in NR-resource grid</w:t>
      </w:r>
    </w:p>
    <w:p w:rsidR="00711BCE" w:rsidRDefault="00711BCE" w:rsidP="00711BCE">
      <w:pPr>
        <w:contextualSpacing/>
        <w:rPr>
          <w:szCs w:val="20"/>
        </w:rPr>
      </w:pPr>
    </w:p>
    <w:p w:rsidR="00D704D1" w:rsidRDefault="00D704D1" w:rsidP="00711BCE">
      <w:pPr>
        <w:contextualSpacing/>
        <w:rPr>
          <w:szCs w:val="20"/>
        </w:rPr>
      </w:pPr>
      <w:r>
        <w:rPr>
          <w:szCs w:val="20"/>
        </w:rPr>
        <w:fldChar w:fldCharType="begin"/>
      </w:r>
      <w:r>
        <w:rPr>
          <w:szCs w:val="20"/>
        </w:rPr>
        <w:instrText xml:space="preserve"> REF _Ref481483555 \h </w:instrText>
      </w:r>
      <w:r>
        <w:rPr>
          <w:szCs w:val="20"/>
        </w:rPr>
      </w:r>
      <w:r>
        <w:rPr>
          <w:szCs w:val="20"/>
        </w:rPr>
        <w:fldChar w:fldCharType="separate"/>
      </w:r>
      <w:r>
        <w:t xml:space="preserve">Figure </w:t>
      </w:r>
      <w:r>
        <w:rPr>
          <w:noProof/>
        </w:rPr>
        <w:t>1</w:t>
      </w:r>
      <w:r>
        <w:rPr>
          <w:szCs w:val="20"/>
        </w:rPr>
        <w:fldChar w:fldCharType="end"/>
      </w:r>
      <w:r>
        <w:rPr>
          <w:szCs w:val="20"/>
        </w:rPr>
        <w:t xml:space="preserve"> describes three different logical to physical resource mappings (CASE A, CASE B and CASE C)</w:t>
      </w:r>
      <w:r w:rsidR="00CA364F">
        <w:rPr>
          <w:szCs w:val="20"/>
        </w:rPr>
        <w:t>. In CASE A, NR-REG bundles can be mapped to any available PRBs in control region.</w:t>
      </w:r>
      <w:r w:rsidR="007E43E5">
        <w:rPr>
          <w:szCs w:val="20"/>
        </w:rPr>
        <w:t xml:space="preserve"> This means that</w:t>
      </w:r>
      <w:r w:rsidR="00366D31">
        <w:rPr>
          <w:szCs w:val="20"/>
        </w:rPr>
        <w:t xml:space="preserve"> those resources must </w:t>
      </w:r>
      <w:r w:rsidR="00230E24">
        <w:rPr>
          <w:szCs w:val="20"/>
        </w:rPr>
        <w:t xml:space="preserve">also be </w:t>
      </w:r>
      <w:r w:rsidR="00366D31">
        <w:rPr>
          <w:szCs w:val="20"/>
        </w:rPr>
        <w:t>pointed out for terminals blind decoding NR-PDCCH</w:t>
      </w:r>
      <w:r w:rsidR="00A52455">
        <w:rPr>
          <w:szCs w:val="20"/>
        </w:rPr>
        <w:t xml:space="preserve"> (e.g. in system information)</w:t>
      </w:r>
      <w:r w:rsidR="00366D31">
        <w:rPr>
          <w:szCs w:val="20"/>
        </w:rPr>
        <w:t>.</w:t>
      </w:r>
      <w:r w:rsidR="00CA364F">
        <w:rPr>
          <w:szCs w:val="20"/>
        </w:rPr>
        <w:t xml:space="preserve"> In CASE B</w:t>
      </w:r>
      <w:r w:rsidR="002A67D9">
        <w:rPr>
          <w:szCs w:val="20"/>
        </w:rPr>
        <w:t xml:space="preserve"> and CASE C</w:t>
      </w:r>
      <w:r w:rsidR="00CA364F">
        <w:rPr>
          <w:szCs w:val="20"/>
        </w:rPr>
        <w:t>,</w:t>
      </w:r>
      <w:r w:rsidR="002A67D9">
        <w:rPr>
          <w:szCs w:val="20"/>
        </w:rPr>
        <w:t xml:space="preserve"> NR-REG bundles are spanned</w:t>
      </w:r>
      <w:r w:rsidR="00CA364F">
        <w:rPr>
          <w:szCs w:val="20"/>
        </w:rPr>
        <w:t xml:space="preserve"> </w:t>
      </w:r>
      <w:r w:rsidR="002A67D9">
        <w:rPr>
          <w:szCs w:val="20"/>
        </w:rPr>
        <w:t>symmetrically to the available system bandwid</w:t>
      </w:r>
      <w:r w:rsidR="00853439">
        <w:rPr>
          <w:szCs w:val="20"/>
        </w:rPr>
        <w:t>th</w:t>
      </w:r>
      <w:r w:rsidR="00C80098">
        <w:rPr>
          <w:szCs w:val="20"/>
        </w:rPr>
        <w:t xml:space="preserve"> and it would enough point out the used allocation pattern.</w:t>
      </w:r>
    </w:p>
    <w:p w:rsidR="00F356B6" w:rsidRDefault="00F356B6" w:rsidP="00711BCE">
      <w:pPr>
        <w:contextualSpacing/>
        <w:rPr>
          <w:szCs w:val="20"/>
        </w:rPr>
      </w:pPr>
      <w:r>
        <w:rPr>
          <w:szCs w:val="20"/>
        </w:rPr>
        <w:t>If NR-REG bundle positions for NR-REG to NR-CCE mapping to NR-resource grid are</w:t>
      </w:r>
      <w:r w:rsidR="00703C8C">
        <w:rPr>
          <w:szCs w:val="20"/>
        </w:rPr>
        <w:t xml:space="preserve"> not restricted, i.e. symmetrical mapping to physical recourses is not used, </w:t>
      </w:r>
      <w:r w:rsidR="009B06BB">
        <w:rPr>
          <w:szCs w:val="20"/>
        </w:rPr>
        <w:t>the distributed mapping will complicate the configuration of the used physical recourses.</w:t>
      </w:r>
      <w:r w:rsidR="00BE58EF">
        <w:rPr>
          <w:szCs w:val="20"/>
        </w:rPr>
        <w:t xml:space="preserve"> Symmetrical mapping of NR-REGs to physical recourses would also help NR-PDCCH reuse for possible different </w:t>
      </w:r>
      <w:r w:rsidR="002A67D9">
        <w:rPr>
          <w:szCs w:val="20"/>
        </w:rPr>
        <w:t>NR RBG</w:t>
      </w:r>
      <w:r w:rsidR="00BE58EF">
        <w:rPr>
          <w:szCs w:val="20"/>
        </w:rPr>
        <w:t xml:space="preserve"> sizes</w:t>
      </w:r>
      <w:r w:rsidR="00887614">
        <w:rPr>
          <w:szCs w:val="20"/>
        </w:rPr>
        <w:t>. Allocation patterns could be fitted to NR-RBG size, so that there is no need to separately assign PDSCH reused in control region.</w:t>
      </w:r>
    </w:p>
    <w:p w:rsidR="00BF07D5" w:rsidRDefault="00BF07D5" w:rsidP="00711BCE">
      <w:pPr>
        <w:contextualSpacing/>
        <w:rPr>
          <w:szCs w:val="20"/>
        </w:rPr>
      </w:pPr>
    </w:p>
    <w:p w:rsidR="00063B47" w:rsidRDefault="002A3F52" w:rsidP="00063B47">
      <w:pPr>
        <w:keepNext/>
        <w:contextualSpacing/>
        <w:jc w:val="center"/>
      </w:pPr>
      <w:r w:rsidRPr="002A3F52">
        <w:rPr>
          <w:noProof/>
          <w:lang w:val="en-GB" w:eastAsia="zh-CN"/>
        </w:rPr>
        <w:drawing>
          <wp:inline distT="0" distB="0" distL="0" distR="0" wp14:anchorId="5F3988CA" wp14:editId="5144AE42">
            <wp:extent cx="5274310" cy="3890010"/>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3890010"/>
                    </a:xfrm>
                    <a:prstGeom prst="rect">
                      <a:avLst/>
                    </a:prstGeom>
                  </pic:spPr>
                </pic:pic>
              </a:graphicData>
            </a:graphic>
          </wp:inline>
        </w:drawing>
      </w:r>
    </w:p>
    <w:p w:rsidR="00BF07D5" w:rsidRDefault="00063B47" w:rsidP="00063B47">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Examples of “symmetrical” physical mapping supporting different PDSCH </w:t>
      </w:r>
      <w:r w:rsidR="009956AA">
        <w:t>NR-</w:t>
      </w:r>
      <w:r>
        <w:t>RBG sizes in control region reuse.</w:t>
      </w:r>
    </w:p>
    <w:p w:rsidR="00BE58EF" w:rsidRDefault="00BE58EF" w:rsidP="00711BCE">
      <w:pPr>
        <w:contextualSpacing/>
        <w:rPr>
          <w:szCs w:val="20"/>
        </w:rPr>
      </w:pPr>
    </w:p>
    <w:p w:rsidR="00BE58EF" w:rsidRDefault="00BE58EF" w:rsidP="00711BCE">
      <w:pPr>
        <w:contextualSpacing/>
        <w:rPr>
          <w:b/>
          <w:szCs w:val="20"/>
        </w:rPr>
      </w:pPr>
      <w:r w:rsidRPr="00BE58EF">
        <w:rPr>
          <w:b/>
          <w:szCs w:val="20"/>
        </w:rPr>
        <w:lastRenderedPageBreak/>
        <w:t>Observation:</w:t>
      </w:r>
      <w:r w:rsidR="00656F71">
        <w:rPr>
          <w:b/>
          <w:szCs w:val="20"/>
        </w:rPr>
        <w:t xml:space="preserve"> Distributed NR-REG to NR-CCE mapping will determine the upper limit for </w:t>
      </w:r>
      <w:r w:rsidR="00230E24">
        <w:rPr>
          <w:b/>
          <w:szCs w:val="20"/>
        </w:rPr>
        <w:t xml:space="preserve">the </w:t>
      </w:r>
      <w:r w:rsidR="00656F71">
        <w:rPr>
          <w:b/>
          <w:szCs w:val="20"/>
        </w:rPr>
        <w:t xml:space="preserve">signaling </w:t>
      </w:r>
      <w:r w:rsidR="002D08DC">
        <w:rPr>
          <w:b/>
          <w:szCs w:val="20"/>
        </w:rPr>
        <w:t xml:space="preserve">of the </w:t>
      </w:r>
      <w:r w:rsidR="00656F71">
        <w:rPr>
          <w:b/>
          <w:szCs w:val="20"/>
        </w:rPr>
        <w:t>used physical recourses</w:t>
      </w:r>
      <w:r w:rsidR="00A52455">
        <w:rPr>
          <w:b/>
          <w:szCs w:val="20"/>
        </w:rPr>
        <w:t xml:space="preserve"> (physical NR-REG bundle positions in resource grid)</w:t>
      </w:r>
      <w:r w:rsidR="00656F71">
        <w:rPr>
          <w:b/>
          <w:szCs w:val="20"/>
        </w:rPr>
        <w:t>.</w:t>
      </w:r>
    </w:p>
    <w:p w:rsidR="00656F71" w:rsidRDefault="00656F71" w:rsidP="00711BCE">
      <w:pPr>
        <w:contextualSpacing/>
        <w:rPr>
          <w:b/>
          <w:szCs w:val="20"/>
        </w:rPr>
      </w:pPr>
    </w:p>
    <w:p w:rsidR="00656F71" w:rsidRPr="00BE58EF" w:rsidRDefault="00656F71" w:rsidP="00711BCE">
      <w:pPr>
        <w:contextualSpacing/>
        <w:rPr>
          <w:b/>
          <w:szCs w:val="20"/>
        </w:rPr>
      </w:pPr>
      <w:r>
        <w:rPr>
          <w:b/>
          <w:szCs w:val="20"/>
        </w:rPr>
        <w:t xml:space="preserve">Proposal: Symmetrical NR-REG bundle to physical recourses </w:t>
      </w:r>
      <w:r w:rsidR="00C8469E">
        <w:rPr>
          <w:b/>
          <w:szCs w:val="20"/>
        </w:rPr>
        <w:t xml:space="preserve">mapping </w:t>
      </w:r>
      <w:r w:rsidR="00F41236">
        <w:rPr>
          <w:b/>
          <w:szCs w:val="20"/>
        </w:rPr>
        <w:t>should</w:t>
      </w:r>
      <w:r>
        <w:rPr>
          <w:b/>
          <w:szCs w:val="20"/>
        </w:rPr>
        <w:t xml:space="preserve"> be used in NR.</w:t>
      </w:r>
    </w:p>
    <w:p w:rsidR="00703C8C" w:rsidRPr="00711BCE" w:rsidRDefault="00703C8C" w:rsidP="00711BCE">
      <w:pPr>
        <w:contextualSpacing/>
        <w:rPr>
          <w:szCs w:val="20"/>
        </w:rPr>
      </w:pPr>
    </w:p>
    <w:p w:rsidR="00612790" w:rsidRDefault="00A5104C" w:rsidP="00463012">
      <w:r>
        <w:t>One of the RAN WG1 meeting #88bis agreement was</w:t>
      </w:r>
      <w:r w:rsidR="00F14D4E">
        <w:t xml:space="preserve"> that</w:t>
      </w:r>
      <w:r w:rsidR="00F14D4E" w:rsidRPr="00F14D4E">
        <w:t xml:space="preserve"> </w:t>
      </w:r>
      <w:r w:rsidR="00EC0792">
        <w:t>NR-</w:t>
      </w:r>
      <w:r w:rsidR="00F14D4E" w:rsidRPr="00F14D4E">
        <w:t xml:space="preserve">CCE may be mapped to </w:t>
      </w:r>
      <w:r w:rsidR="00EC0792">
        <w:t>NR-</w:t>
      </w:r>
      <w:r w:rsidR="00F14D4E" w:rsidRPr="00F14D4E">
        <w:t xml:space="preserve">REGs with interleaved or non-interleaved </w:t>
      </w:r>
      <w:r w:rsidR="00EC0792">
        <w:t>NR-</w:t>
      </w:r>
      <w:r w:rsidR="00F14D4E" w:rsidRPr="00F14D4E">
        <w:t>REG indices within a CORESET</w:t>
      </w:r>
      <w:r w:rsidR="00F5082A">
        <w:t>.</w:t>
      </w:r>
      <w:r>
        <w:t xml:space="preserve"> It was</w:t>
      </w:r>
      <w:r w:rsidR="00513E8D">
        <w:t xml:space="preserve"> questioned whether </w:t>
      </w:r>
      <w:r w:rsidR="000B3DF8">
        <w:t>NR-</w:t>
      </w:r>
      <w:r w:rsidR="00513E8D">
        <w:t>REG bundle size is different for mapping of NR-PDCCH with or without interleaved mapping of NR-CCE to NR-REGs.</w:t>
      </w:r>
    </w:p>
    <w:p w:rsidR="000B3DF8" w:rsidRPr="00C84CF7" w:rsidRDefault="000B3DF8" w:rsidP="00463012">
      <w:r w:rsidRPr="00C84CF7">
        <w:t xml:space="preserve">In LTE interleaving for PDCCH is done REG wise. </w:t>
      </w:r>
      <w:r w:rsidR="003E7588" w:rsidRPr="00C84CF7">
        <w:t xml:space="preserve">In LTE used resources for PDCCH among adjacent cells are more probably </w:t>
      </w:r>
      <w:r w:rsidR="000B3DE6">
        <w:t>interfering each other</w:t>
      </w:r>
      <w:r w:rsidR="003E7588" w:rsidRPr="00C84CF7">
        <w:t xml:space="preserve"> t</w:t>
      </w:r>
      <w:r w:rsidR="000B3DE6">
        <w:t>han what</w:t>
      </w:r>
      <w:r w:rsidR="003E7588" w:rsidRPr="00C84CF7">
        <w:t xml:space="preserve"> will be </w:t>
      </w:r>
      <w:r w:rsidR="000B3DE6">
        <w:t xml:space="preserve">in </w:t>
      </w:r>
      <w:r w:rsidR="003E7588" w:rsidRPr="00C84CF7">
        <w:t xml:space="preserve">NR due to EPDCCH like CORESET definition. </w:t>
      </w:r>
      <w:r w:rsidRPr="00C84CF7">
        <w:t>If NR-REG bundling is used</w:t>
      </w:r>
      <w:r w:rsidR="000B3DE6">
        <w:t>,</w:t>
      </w:r>
      <w:r w:rsidRPr="00C84CF7">
        <w:t xml:space="preserve"> one possible solution for interleaving could be NR-REG bundle wise interleaving. </w:t>
      </w:r>
    </w:p>
    <w:p w:rsidR="00B83514" w:rsidRDefault="00B83514" w:rsidP="00463012">
      <w:pPr>
        <w:rPr>
          <w:b/>
        </w:rPr>
      </w:pPr>
      <w:r w:rsidRPr="00B83514">
        <w:rPr>
          <w:b/>
        </w:rPr>
        <w:t xml:space="preserve">Observation: Interleaving could also be done </w:t>
      </w:r>
      <w:r w:rsidR="007E365B">
        <w:rPr>
          <w:b/>
        </w:rPr>
        <w:t xml:space="preserve">in </w:t>
      </w:r>
      <w:r w:rsidRPr="00B83514">
        <w:rPr>
          <w:b/>
        </w:rPr>
        <w:t>NR-REG bundle wise.</w:t>
      </w:r>
    </w:p>
    <w:p w:rsidR="008F4C63" w:rsidRPr="00B83514" w:rsidRDefault="008F4C63" w:rsidP="00463012">
      <w:pPr>
        <w:rPr>
          <w:b/>
        </w:rPr>
      </w:pPr>
    </w:p>
    <w:p w:rsidR="00550713" w:rsidRPr="00550713" w:rsidRDefault="00550713" w:rsidP="00550713">
      <w:pPr>
        <w:pStyle w:val="Heading1"/>
      </w:pPr>
      <w:r>
        <w:t>Control resource set</w:t>
      </w:r>
      <w:r w:rsidR="008F4C63">
        <w:t xml:space="preserve"> definition</w:t>
      </w:r>
    </w:p>
    <w:p w:rsidR="00C770E9" w:rsidRDefault="00550713" w:rsidP="008F4C63">
      <w:r>
        <w:t xml:space="preserve">Control resource set (CORESET) </w:t>
      </w:r>
      <w:r w:rsidR="00B65969">
        <w:t>is similar</w:t>
      </w:r>
      <w:r>
        <w:t xml:space="preserve"> </w:t>
      </w:r>
      <w:r w:rsidR="00B65969">
        <w:t xml:space="preserve">to </w:t>
      </w:r>
      <w:r w:rsidR="0041368A">
        <w:t xml:space="preserve">the </w:t>
      </w:r>
      <w:r>
        <w:t>EPDCCH-PRB-Set in LTE</w:t>
      </w:r>
      <w:r w:rsidR="00651E39">
        <w:t xml:space="preserve"> (LTE PDCCH has not “set definition”)</w:t>
      </w:r>
      <w:r>
        <w:t>.</w:t>
      </w:r>
      <w:r w:rsidR="001978AA">
        <w:t xml:space="preserve"> </w:t>
      </w:r>
      <w:r w:rsidR="00385478">
        <w:t>The CORESET size in time and/or frequency domain is determined</w:t>
      </w:r>
      <w:r w:rsidR="00385478" w:rsidDel="00385478">
        <w:t xml:space="preserve"> </w:t>
      </w:r>
      <w:r w:rsidR="00C75E06">
        <w:t xml:space="preserve"> </w:t>
      </w:r>
      <w:r w:rsidR="006F3127">
        <w:t xml:space="preserve">at least </w:t>
      </w:r>
      <w:r w:rsidR="00C75E06">
        <w:t>according to req</w:t>
      </w:r>
      <w:r w:rsidR="00495806">
        <w:t>uired maximum aggregation level</w:t>
      </w:r>
      <w:r w:rsidR="006F3127">
        <w:t>, the size of NR-REG in resource elements, NR-CCE size in NR-REGs and DCI payload</w:t>
      </w:r>
      <w:r w:rsidR="00495806">
        <w:t>: as a reference the maximum aggregation level for LTE PDCCH is</w:t>
      </w:r>
      <w:r w:rsidR="006F3127">
        <w:t xml:space="preserve"> 8</w:t>
      </w:r>
      <w:r w:rsidR="00AC1F6E">
        <w:t xml:space="preserve">, </w:t>
      </w:r>
      <w:r w:rsidR="006F3127">
        <w:t>REG</w:t>
      </w:r>
      <w:r w:rsidR="00AC1F6E">
        <w:t xml:space="preserve"> size 4 REs</w:t>
      </w:r>
      <w:r w:rsidR="008A5A1F">
        <w:t xml:space="preserve">, </w:t>
      </w:r>
      <w:r w:rsidR="00AC1F6E">
        <w:t>CCE</w:t>
      </w:r>
      <w:r w:rsidR="008A5A1F">
        <w:t xml:space="preserve"> size 9 </w:t>
      </w:r>
      <w:r w:rsidR="005B3038">
        <w:t>REGs and maximum payload size around 70</w:t>
      </w:r>
      <w:r w:rsidR="008A5A1F">
        <w:t xml:space="preserve"> bits</w:t>
      </w:r>
      <w:r w:rsidR="005B3038">
        <w:t xml:space="preserve"> for 100 PRB bandwidth</w:t>
      </w:r>
      <w:r w:rsidR="008A5A1F">
        <w:t>.</w:t>
      </w:r>
    </w:p>
    <w:p w:rsidR="00BD6611" w:rsidRDefault="00BD6611" w:rsidP="008F4C63">
      <w:r>
        <w:fldChar w:fldCharType="begin"/>
      </w:r>
      <w:r>
        <w:instrText xml:space="preserve"> REF _Ref481482906 \h </w:instrText>
      </w:r>
      <w:r>
        <w:fldChar w:fldCharType="separate"/>
      </w:r>
      <w:r>
        <w:t xml:space="preserve">Table </w:t>
      </w:r>
      <w:r>
        <w:rPr>
          <w:noProof/>
        </w:rPr>
        <w:t>1</w:t>
      </w:r>
      <w:r>
        <w:fldChar w:fldCharType="end"/>
      </w:r>
      <w:r>
        <w:t xml:space="preserve"> below compares the available number of CCEs/NR-CCEs and resource elements available for different bandwidths in case of LTE PDCCH and NR.</w:t>
      </w:r>
      <w:r w:rsidR="005837B5">
        <w:t xml:space="preserve"> 2 OFDM and 3 OFDM symbols allocations correspond to time first allocation of NR-REGs to NR-CCE depicted in </w:t>
      </w:r>
      <w:r w:rsidR="005837B5">
        <w:fldChar w:fldCharType="begin"/>
      </w:r>
      <w:r w:rsidR="005837B5">
        <w:instrText xml:space="preserve"> REF _Ref481483555 \h </w:instrText>
      </w:r>
      <w:r w:rsidR="005837B5">
        <w:fldChar w:fldCharType="separate"/>
      </w:r>
      <w:r w:rsidR="005837B5">
        <w:t xml:space="preserve">Figure </w:t>
      </w:r>
      <w:r w:rsidR="005837B5">
        <w:rPr>
          <w:noProof/>
        </w:rPr>
        <w:t>1</w:t>
      </w:r>
      <w:r w:rsidR="005837B5">
        <w:fldChar w:fldCharType="end"/>
      </w:r>
      <w:r w:rsidR="005837B5">
        <w:t xml:space="preserve"> and </w:t>
      </w:r>
      <w:r w:rsidR="005837B5">
        <w:fldChar w:fldCharType="begin"/>
      </w:r>
      <w:r w:rsidR="005837B5">
        <w:instrText xml:space="preserve"> REF _Ref481483560 \h </w:instrText>
      </w:r>
      <w:r w:rsidR="005837B5">
        <w:fldChar w:fldCharType="separate"/>
      </w:r>
      <w:r w:rsidR="005837B5">
        <w:t xml:space="preserve">Figure </w:t>
      </w:r>
      <w:r w:rsidR="005837B5">
        <w:rPr>
          <w:noProof/>
        </w:rPr>
        <w:t>2</w:t>
      </w:r>
      <w:r w:rsidR="005837B5">
        <w:fldChar w:fldCharType="end"/>
      </w:r>
      <w:r w:rsidR="005837B5">
        <w:t>.</w:t>
      </w:r>
      <w:r>
        <w:t xml:space="preserve"> In NR case 33 % DMRS overhead in PRB allocation and 6 NR-REGs per NR-CCE are assumed.</w:t>
      </w:r>
      <w:r w:rsidR="00022635">
        <w:t xml:space="preserve"> LTE PDCCH </w:t>
      </w:r>
      <w:r w:rsidR="00445EE1">
        <w:t xml:space="preserve">columns in </w:t>
      </w:r>
      <w:r w:rsidR="00445EE1">
        <w:fldChar w:fldCharType="begin"/>
      </w:r>
      <w:r w:rsidR="00445EE1">
        <w:instrText xml:space="preserve"> REF _Ref481482906 \h </w:instrText>
      </w:r>
      <w:r w:rsidR="00445EE1">
        <w:fldChar w:fldCharType="separate"/>
      </w:r>
      <w:r w:rsidR="00445EE1">
        <w:t xml:space="preserve">Table </w:t>
      </w:r>
      <w:r w:rsidR="00445EE1">
        <w:rPr>
          <w:noProof/>
        </w:rPr>
        <w:t>1</w:t>
      </w:r>
      <w:r w:rsidR="00445EE1">
        <w:fldChar w:fldCharType="end"/>
      </w:r>
      <w:r w:rsidR="00022635">
        <w:t xml:space="preserve"> include in addition to </w:t>
      </w:r>
      <w:r w:rsidR="0041368A">
        <w:t xml:space="preserve">the </w:t>
      </w:r>
      <w:r w:rsidR="00022635">
        <w:t>reference symbol overhead</w:t>
      </w:r>
      <w:r w:rsidR="00225321">
        <w:t xml:space="preserve"> also </w:t>
      </w:r>
      <w:r w:rsidR="0041368A">
        <w:t xml:space="preserve">the </w:t>
      </w:r>
      <w:r w:rsidR="00225321">
        <w:t>allocation of</w:t>
      </w:r>
      <w:r w:rsidR="00022635">
        <w:t xml:space="preserve"> PCFICH and PHICH.</w:t>
      </w:r>
    </w:p>
    <w:p w:rsidR="004A34FF" w:rsidRDefault="00896771" w:rsidP="008F4C63">
      <w:pPr>
        <w:rPr>
          <w:rFonts w:eastAsia="Times New Roman"/>
          <w:bCs/>
          <w:lang w:val="en-GB" w:eastAsia="zh-CN"/>
        </w:rPr>
      </w:pPr>
      <w:r w:rsidRPr="00896771">
        <w:rPr>
          <w:rFonts w:eastAsia="Times New Roman"/>
          <w:bCs/>
          <w:lang w:val="en-GB" w:eastAsia="zh-CN"/>
        </w:rPr>
        <w:t xml:space="preserve">Multiple CORESET definition has been discussed as </w:t>
      </w:r>
      <w:r>
        <w:rPr>
          <w:rFonts w:eastAsia="Times New Roman"/>
          <w:bCs/>
          <w:lang w:val="en-GB" w:eastAsia="zh-CN"/>
        </w:rPr>
        <w:t xml:space="preserve">a </w:t>
      </w:r>
      <w:r w:rsidRPr="00896771">
        <w:rPr>
          <w:rFonts w:eastAsia="Times New Roman"/>
          <w:bCs/>
          <w:lang w:val="en-GB" w:eastAsia="zh-CN"/>
        </w:rPr>
        <w:t xml:space="preserve">means to </w:t>
      </w:r>
      <w:r w:rsidR="008B2B18">
        <w:rPr>
          <w:rFonts w:eastAsia="Times New Roman"/>
          <w:bCs/>
          <w:lang w:val="en-GB" w:eastAsia="zh-CN"/>
        </w:rPr>
        <w:t>adapt</w:t>
      </w:r>
      <w:r w:rsidR="001823E2">
        <w:rPr>
          <w:rFonts w:eastAsia="Times New Roman"/>
          <w:bCs/>
          <w:lang w:val="en-GB" w:eastAsia="zh-CN"/>
        </w:rPr>
        <w:t xml:space="preserve"> static or</w:t>
      </w:r>
      <w:r w:rsidR="008B2B18">
        <w:rPr>
          <w:rFonts w:eastAsia="Times New Roman"/>
          <w:bCs/>
          <w:lang w:val="en-GB" w:eastAsia="zh-CN"/>
        </w:rPr>
        <w:t xml:space="preserve"> rapid channel variations as well as it can be utilized in COMP scenarios. </w:t>
      </w:r>
      <w:r w:rsidR="004666C1">
        <w:rPr>
          <w:rFonts w:eastAsia="Times New Roman"/>
          <w:bCs/>
          <w:lang w:val="en-GB" w:eastAsia="zh-CN"/>
        </w:rPr>
        <w:t xml:space="preserve">Exemplary </w:t>
      </w:r>
      <w:r w:rsidR="001823E2">
        <w:rPr>
          <w:rFonts w:eastAsia="Times New Roman"/>
          <w:bCs/>
          <w:lang w:val="en-GB" w:eastAsia="zh-CN"/>
        </w:rPr>
        <w:t xml:space="preserve">CORESET #1 can be configured for localized transmission and CORESET #2 </w:t>
      </w:r>
      <w:r w:rsidR="00274729">
        <w:rPr>
          <w:rFonts w:eastAsia="Times New Roman"/>
          <w:bCs/>
          <w:lang w:val="en-GB" w:eastAsia="zh-CN"/>
        </w:rPr>
        <w:t xml:space="preserve">as a fall-back for </w:t>
      </w:r>
      <w:r w:rsidR="001823E2">
        <w:rPr>
          <w:rFonts w:eastAsia="Times New Roman"/>
          <w:bCs/>
          <w:lang w:val="en-GB" w:eastAsia="zh-CN"/>
        </w:rPr>
        <w:t xml:space="preserve">distributed transmission. </w:t>
      </w:r>
      <w:r w:rsidR="008B2B18">
        <w:rPr>
          <w:rFonts w:eastAsia="Times New Roman"/>
          <w:bCs/>
          <w:lang w:val="en-GB" w:eastAsia="zh-CN"/>
        </w:rPr>
        <w:t>Legacy LTE defines 2 EPDCCH-PRB-Sets for enhanced control channel but does not have such a PRB-Set definition for PDCCH.</w:t>
      </w:r>
    </w:p>
    <w:p w:rsidR="00811404" w:rsidRPr="00896771" w:rsidRDefault="00811404" w:rsidP="008F4C63">
      <w:pPr>
        <w:rPr>
          <w:rFonts w:eastAsia="Times New Roman"/>
          <w:bCs/>
          <w:lang w:val="en-GB" w:eastAsia="zh-CN"/>
        </w:rPr>
      </w:pPr>
      <w:r>
        <w:rPr>
          <w:rFonts w:eastAsia="Times New Roman"/>
          <w:bCs/>
          <w:lang w:val="en-GB" w:eastAsia="zh-CN"/>
        </w:rPr>
        <w:t>In order to estimate</w:t>
      </w:r>
      <w:r w:rsidR="00A94B26">
        <w:rPr>
          <w:rFonts w:eastAsia="Times New Roman"/>
          <w:bCs/>
          <w:lang w:val="en-GB" w:eastAsia="zh-CN"/>
        </w:rPr>
        <w:t xml:space="preserve"> applicability for existence of multiple CORESETs, the number of available NR-CCEs has to be calculated. Those are listed for different system bandwidths in </w:t>
      </w:r>
      <w:r w:rsidR="00A94B26">
        <w:rPr>
          <w:rFonts w:eastAsia="Times New Roman"/>
          <w:bCs/>
          <w:lang w:val="en-GB" w:eastAsia="zh-CN"/>
        </w:rPr>
        <w:fldChar w:fldCharType="begin"/>
      </w:r>
      <w:r w:rsidR="00A94B26">
        <w:rPr>
          <w:rFonts w:eastAsia="Times New Roman"/>
          <w:bCs/>
          <w:lang w:val="en-GB" w:eastAsia="zh-CN"/>
        </w:rPr>
        <w:instrText xml:space="preserve"> REF _Ref481482906 \h </w:instrText>
      </w:r>
      <w:r w:rsidR="00A94B26">
        <w:rPr>
          <w:rFonts w:eastAsia="Times New Roman"/>
          <w:bCs/>
          <w:lang w:val="en-GB" w:eastAsia="zh-CN"/>
        </w:rPr>
      </w:r>
      <w:r w:rsidR="00A94B26">
        <w:rPr>
          <w:rFonts w:eastAsia="Times New Roman"/>
          <w:bCs/>
          <w:lang w:val="en-GB" w:eastAsia="zh-CN"/>
        </w:rPr>
        <w:fldChar w:fldCharType="separate"/>
      </w:r>
      <w:r w:rsidR="00A94B26">
        <w:t xml:space="preserve">Table </w:t>
      </w:r>
      <w:r w:rsidR="00A94B26">
        <w:rPr>
          <w:noProof/>
        </w:rPr>
        <w:t>1</w:t>
      </w:r>
      <w:r w:rsidR="00A94B26">
        <w:rPr>
          <w:rFonts w:eastAsia="Times New Roman"/>
          <w:bCs/>
          <w:lang w:val="en-GB" w:eastAsia="zh-CN"/>
        </w:rPr>
        <w:fldChar w:fldCharType="end"/>
      </w:r>
      <w:r w:rsidR="00A94B26">
        <w:rPr>
          <w:rFonts w:eastAsia="Times New Roman"/>
          <w:bCs/>
          <w:lang w:val="en-GB" w:eastAsia="zh-CN"/>
        </w:rPr>
        <w:t xml:space="preserve">. </w:t>
      </w:r>
      <w:r w:rsidR="00304026">
        <w:rPr>
          <w:rFonts w:eastAsia="Times New Roman"/>
          <w:bCs/>
          <w:lang w:val="en-GB" w:eastAsia="zh-CN"/>
        </w:rPr>
        <w:t xml:space="preserve">After the maximum NR-CCE number is known, it has to be divided between two CORESETs. </w:t>
      </w:r>
      <w:r>
        <w:rPr>
          <w:lang w:eastAsia="zh-CN"/>
        </w:rPr>
        <w:fldChar w:fldCharType="begin"/>
      </w:r>
      <w:r>
        <w:rPr>
          <w:lang w:eastAsia="zh-CN"/>
        </w:rPr>
        <w:instrText xml:space="preserve"> REF _Ref481491715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 </w:t>
      </w:r>
      <w:r>
        <w:rPr>
          <w:lang w:eastAsia="zh-CN"/>
        </w:rPr>
        <w:fldChar w:fldCharType="begin"/>
      </w:r>
      <w:r>
        <w:rPr>
          <w:lang w:eastAsia="zh-CN"/>
        </w:rPr>
        <w:instrText xml:space="preserve"> REF _Ref481491724 \h </w:instrText>
      </w:r>
      <w:r>
        <w:rPr>
          <w:lang w:eastAsia="zh-CN"/>
        </w:rPr>
      </w:r>
      <w:r>
        <w:rPr>
          <w:lang w:eastAsia="zh-CN"/>
        </w:rPr>
        <w:fldChar w:fldCharType="separate"/>
      </w:r>
      <w:r>
        <w:t xml:space="preserve">Table </w:t>
      </w:r>
      <w:r>
        <w:rPr>
          <w:noProof/>
        </w:rPr>
        <w:t>4</w:t>
      </w:r>
      <w:r>
        <w:rPr>
          <w:lang w:eastAsia="zh-CN"/>
        </w:rPr>
        <w:fldChar w:fldCharType="end"/>
      </w:r>
      <w:r>
        <w:rPr>
          <w:lang w:eastAsia="zh-CN"/>
        </w:rPr>
        <w:t xml:space="preserve"> list </w:t>
      </w:r>
      <w:r w:rsidR="002C2042">
        <w:rPr>
          <w:lang w:eastAsia="zh-CN"/>
        </w:rPr>
        <w:t xml:space="preserve">all </w:t>
      </w:r>
      <w:r>
        <w:rPr>
          <w:lang w:eastAsia="zh-CN"/>
        </w:rPr>
        <w:t>possible CORESET maximum aggregation levels for the lowest system bandwidths thought to be supported for NR.</w:t>
      </w:r>
    </w:p>
    <w:p w:rsidR="004E7BE8" w:rsidRDefault="004E7BE8" w:rsidP="00034482">
      <w:pPr>
        <w:pStyle w:val="Caption"/>
        <w:keepNext/>
      </w:pPr>
      <w:bookmarkStart w:id="4" w:name="_Ref481482906"/>
      <w:r>
        <w:t xml:space="preserve">Table </w:t>
      </w:r>
      <w:r>
        <w:fldChar w:fldCharType="begin"/>
      </w:r>
      <w:r>
        <w:instrText xml:space="preserve"> SEQ Table \* ARABIC </w:instrText>
      </w:r>
      <w:r>
        <w:fldChar w:fldCharType="separate"/>
      </w:r>
      <w:r w:rsidR="00896771">
        <w:rPr>
          <w:noProof/>
        </w:rPr>
        <w:t>1</w:t>
      </w:r>
      <w:r>
        <w:fldChar w:fldCharType="end"/>
      </w:r>
      <w:bookmarkEnd w:id="4"/>
      <w:r>
        <w:t xml:space="preserve"> Maximum number of available CCEs/NR-CCEs</w:t>
      </w:r>
    </w:p>
    <w:p w:rsidR="00C770E9" w:rsidRDefault="00FE4742" w:rsidP="008F4C63">
      <w:r w:rsidRPr="00FE4742">
        <w:rPr>
          <w:noProof/>
          <w:lang w:val="en-GB" w:eastAsia="zh-CN"/>
        </w:rPr>
        <w:drawing>
          <wp:inline distT="0" distB="0" distL="0" distR="0" wp14:anchorId="4FA2A0F0" wp14:editId="36ABBB5B">
            <wp:extent cx="5274310" cy="937260"/>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937260"/>
                    </a:xfrm>
                    <a:prstGeom prst="rect">
                      <a:avLst/>
                    </a:prstGeom>
                  </pic:spPr>
                </pic:pic>
              </a:graphicData>
            </a:graphic>
          </wp:inline>
        </w:drawing>
      </w:r>
    </w:p>
    <w:p w:rsidR="00033C76" w:rsidRDefault="00033C76" w:rsidP="00033C76">
      <w:pPr>
        <w:pStyle w:val="Caption"/>
        <w:keepNext/>
      </w:pPr>
      <w:bookmarkStart w:id="5" w:name="_Ref481491715"/>
      <w:r>
        <w:lastRenderedPageBreak/>
        <w:t xml:space="preserve">Table </w:t>
      </w:r>
      <w:r>
        <w:fldChar w:fldCharType="begin"/>
      </w:r>
      <w:r>
        <w:instrText xml:space="preserve"> SEQ Table \* ARABIC </w:instrText>
      </w:r>
      <w:r>
        <w:fldChar w:fldCharType="separate"/>
      </w:r>
      <w:r w:rsidR="00896771">
        <w:rPr>
          <w:noProof/>
        </w:rPr>
        <w:t>2</w:t>
      </w:r>
      <w:r>
        <w:fldChar w:fldCharType="end"/>
      </w:r>
      <w:bookmarkEnd w:id="5"/>
      <w:r>
        <w:t xml:space="preserve"> Possible CORESET sizes for 25 PRB bandwidth</w:t>
      </w:r>
    </w:p>
    <w:p w:rsidR="0002269F" w:rsidRDefault="004A4814" w:rsidP="00C84CF7">
      <w:pPr>
        <w:jc w:val="center"/>
        <w:rPr>
          <w:lang w:eastAsia="zh-CN"/>
        </w:rPr>
      </w:pPr>
      <w:r w:rsidRPr="004A4814">
        <w:rPr>
          <w:noProof/>
          <w:lang w:val="en-GB" w:eastAsia="zh-CN"/>
        </w:rPr>
        <w:drawing>
          <wp:inline distT="0" distB="0" distL="0" distR="0" wp14:anchorId="0420C57B" wp14:editId="7F4DCB8C">
            <wp:extent cx="5274310" cy="1543685"/>
            <wp:effectExtent l="0" t="0" r="254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1543685"/>
                    </a:xfrm>
                    <a:prstGeom prst="rect">
                      <a:avLst/>
                    </a:prstGeom>
                  </pic:spPr>
                </pic:pic>
              </a:graphicData>
            </a:graphic>
          </wp:inline>
        </w:drawing>
      </w:r>
    </w:p>
    <w:p w:rsidR="00720199" w:rsidRDefault="00EB38E5" w:rsidP="00C84CF7">
      <w:pPr>
        <w:pStyle w:val="Caption"/>
        <w:keepNext/>
      </w:pPr>
      <w:r>
        <w:t xml:space="preserve">Table </w:t>
      </w:r>
      <w:r>
        <w:fldChar w:fldCharType="begin"/>
      </w:r>
      <w:r>
        <w:instrText xml:space="preserve"> SEQ Table \* ARABIC </w:instrText>
      </w:r>
      <w:r>
        <w:fldChar w:fldCharType="separate"/>
      </w:r>
      <w:r w:rsidR="00896771">
        <w:rPr>
          <w:noProof/>
        </w:rPr>
        <w:t>3</w:t>
      </w:r>
      <w:r>
        <w:fldChar w:fldCharType="end"/>
      </w:r>
      <w:r>
        <w:t xml:space="preserve"> Possible CORESET sizes for 50 PRB bandwidth</w:t>
      </w:r>
    </w:p>
    <w:p w:rsidR="00EB38E5" w:rsidRDefault="003C2662" w:rsidP="00F44ADD">
      <w:pPr>
        <w:jc w:val="center"/>
        <w:rPr>
          <w:lang w:eastAsia="zh-CN"/>
        </w:rPr>
      </w:pPr>
      <w:r w:rsidRPr="003C2662">
        <w:rPr>
          <w:noProof/>
          <w:lang w:val="en-GB" w:eastAsia="zh-CN"/>
        </w:rPr>
        <w:drawing>
          <wp:inline distT="0" distB="0" distL="0" distR="0" wp14:anchorId="574ACF15" wp14:editId="14C96401">
            <wp:extent cx="5274310" cy="2120900"/>
            <wp:effectExtent l="0" t="0" r="254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2120900"/>
                    </a:xfrm>
                    <a:prstGeom prst="rect">
                      <a:avLst/>
                    </a:prstGeom>
                  </pic:spPr>
                </pic:pic>
              </a:graphicData>
            </a:graphic>
          </wp:inline>
        </w:drawing>
      </w:r>
    </w:p>
    <w:p w:rsidR="00896771" w:rsidRDefault="00896771" w:rsidP="00896771">
      <w:pPr>
        <w:pStyle w:val="Caption"/>
        <w:keepNext/>
      </w:pPr>
      <w:bookmarkStart w:id="6" w:name="_Ref481491724"/>
      <w:r>
        <w:t xml:space="preserve">Table </w:t>
      </w:r>
      <w:r>
        <w:fldChar w:fldCharType="begin"/>
      </w:r>
      <w:r>
        <w:instrText xml:space="preserve"> SEQ Table \* ARABIC </w:instrText>
      </w:r>
      <w:r>
        <w:fldChar w:fldCharType="separate"/>
      </w:r>
      <w:r>
        <w:rPr>
          <w:noProof/>
        </w:rPr>
        <w:t>4</w:t>
      </w:r>
      <w:r>
        <w:fldChar w:fldCharType="end"/>
      </w:r>
      <w:bookmarkEnd w:id="6"/>
      <w:r>
        <w:t xml:space="preserve"> Possible CORESET sizes for 100 PRB bandwidth</w:t>
      </w:r>
    </w:p>
    <w:p w:rsidR="002C2042" w:rsidRDefault="003C2662" w:rsidP="00C84CF7">
      <w:pPr>
        <w:jc w:val="center"/>
        <w:rPr>
          <w:lang w:eastAsia="zh-CN"/>
        </w:rPr>
      </w:pPr>
      <w:r w:rsidRPr="003C2662">
        <w:rPr>
          <w:noProof/>
          <w:lang w:val="en-GB" w:eastAsia="zh-CN"/>
        </w:rPr>
        <w:drawing>
          <wp:inline distT="0" distB="0" distL="0" distR="0" wp14:anchorId="7CA9D529" wp14:editId="47DFD5CA">
            <wp:extent cx="5274310" cy="2222500"/>
            <wp:effectExtent l="0" t="0" r="254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2222500"/>
                    </a:xfrm>
                    <a:prstGeom prst="rect">
                      <a:avLst/>
                    </a:prstGeom>
                  </pic:spPr>
                </pic:pic>
              </a:graphicData>
            </a:graphic>
          </wp:inline>
        </w:drawing>
      </w:r>
    </w:p>
    <w:p w:rsidR="004A34FF" w:rsidRDefault="004A34FF" w:rsidP="004A34FF">
      <w:pPr>
        <w:jc w:val="left"/>
        <w:rPr>
          <w:lang w:eastAsia="zh-CN"/>
        </w:rPr>
      </w:pPr>
      <w:r>
        <w:rPr>
          <w:lang w:eastAsia="zh-CN"/>
        </w:rPr>
        <w:t xml:space="preserve">For NR-PDCCH aggregation levels up to 8 will be used but </w:t>
      </w:r>
      <w:r w:rsidR="001E2C0C">
        <w:rPr>
          <w:lang w:eastAsia="zh-CN"/>
        </w:rPr>
        <w:t xml:space="preserve">also </w:t>
      </w:r>
      <w:r>
        <w:rPr>
          <w:lang w:eastAsia="zh-CN"/>
        </w:rPr>
        <w:t>ALs 16 and 32 have been mentioned.</w:t>
      </w:r>
      <w:r w:rsidR="00002D32">
        <w:rPr>
          <w:lang w:eastAsia="zh-CN"/>
        </w:rPr>
        <w:t xml:space="preserve"> From</w:t>
      </w:r>
      <w:r w:rsidR="001E2C0C">
        <w:rPr>
          <w:lang w:eastAsia="zh-CN"/>
        </w:rPr>
        <w:t xml:space="preserve"> the resource allocation point of view combining the PDCCH control region and EPDCCH like PRB-Set concept does not allow same degrees of freedom than in LTE. </w:t>
      </w:r>
      <w:r w:rsidR="008015B3">
        <w:rPr>
          <w:lang w:eastAsia="zh-CN"/>
        </w:rPr>
        <w:t>In order to support 2 CORESETs with AL 8 at least 50 PRB and 2 OFDM symbols (with time first or frequency first NR-REG to NR-CCE mapp</w:t>
      </w:r>
      <w:r w:rsidR="00485DC4">
        <w:rPr>
          <w:lang w:eastAsia="zh-CN"/>
        </w:rPr>
        <w:t>i</w:t>
      </w:r>
      <w:r w:rsidR="008015B3">
        <w:rPr>
          <w:lang w:eastAsia="zh-CN"/>
        </w:rPr>
        <w:t>ng) are required.</w:t>
      </w:r>
    </w:p>
    <w:p w:rsidR="008015B3" w:rsidRDefault="00845415" w:rsidP="004A34FF">
      <w:pPr>
        <w:jc w:val="left"/>
        <w:rPr>
          <w:b/>
          <w:lang w:eastAsia="zh-CN"/>
        </w:rPr>
      </w:pPr>
      <w:r w:rsidRPr="00845415">
        <w:rPr>
          <w:b/>
          <w:lang w:eastAsia="zh-CN"/>
        </w:rPr>
        <w:t>Observation:</w:t>
      </w:r>
      <w:r>
        <w:rPr>
          <w:b/>
          <w:lang w:eastAsia="zh-CN"/>
        </w:rPr>
        <w:t xml:space="preserve"> Two CORESET configuration cannot be supported and used as a backup method with all system bandwidths and control region sizes to time dimension.</w:t>
      </w:r>
    </w:p>
    <w:p w:rsidR="00845415" w:rsidRDefault="00845415" w:rsidP="004A34FF">
      <w:pPr>
        <w:jc w:val="left"/>
        <w:rPr>
          <w:lang w:eastAsia="zh-CN"/>
        </w:rPr>
      </w:pPr>
      <w:r>
        <w:rPr>
          <w:lang w:eastAsia="zh-CN"/>
        </w:rPr>
        <w:t xml:space="preserve">Common search space (CSS) candidates reserve candidates from two biggest aggregation levels in LTE. If group common search space candidates </w:t>
      </w:r>
      <w:r w:rsidR="00461088">
        <w:rPr>
          <w:lang w:eastAsia="zh-CN"/>
        </w:rPr>
        <w:t xml:space="preserve">are </w:t>
      </w:r>
      <w:r w:rsidR="00F84F7D">
        <w:rPr>
          <w:lang w:eastAsia="zh-CN"/>
        </w:rPr>
        <w:t>transmitted</w:t>
      </w:r>
      <w:r>
        <w:rPr>
          <w:lang w:eastAsia="zh-CN"/>
        </w:rPr>
        <w:t xml:space="preserve"> </w:t>
      </w:r>
      <w:r w:rsidR="0040728A">
        <w:rPr>
          <w:lang w:eastAsia="zh-CN"/>
        </w:rPr>
        <w:t xml:space="preserve">together UE specific </w:t>
      </w:r>
      <w:r w:rsidR="0040728A">
        <w:rPr>
          <w:lang w:eastAsia="zh-CN"/>
        </w:rPr>
        <w:lastRenderedPageBreak/>
        <w:t xml:space="preserve">candidates </w:t>
      </w:r>
      <w:r>
        <w:rPr>
          <w:lang w:eastAsia="zh-CN"/>
        </w:rPr>
        <w:t>within the USS</w:t>
      </w:r>
      <w:r w:rsidR="00461088">
        <w:rPr>
          <w:lang w:eastAsia="zh-CN"/>
        </w:rPr>
        <w:t xml:space="preserve"> resources they will most probably </w:t>
      </w:r>
      <w:r w:rsidR="007515AB">
        <w:rPr>
          <w:lang w:eastAsia="zh-CN"/>
        </w:rPr>
        <w:t>be transmitted</w:t>
      </w:r>
      <w:r w:rsidR="00461088">
        <w:rPr>
          <w:lang w:eastAsia="zh-CN"/>
        </w:rPr>
        <w:t xml:space="preserve"> also with the biggest ALs available in analog beam. This increases blocking probability or prevents sending UE specific</w:t>
      </w:r>
      <w:r w:rsidR="00F563A3">
        <w:rPr>
          <w:lang w:eastAsia="zh-CN"/>
        </w:rPr>
        <w:t xml:space="preserve"> PDCCHs especially when hierarchical </w:t>
      </w:r>
      <w:r w:rsidR="00D265F9">
        <w:rPr>
          <w:lang w:eastAsia="zh-CN"/>
        </w:rPr>
        <w:t>search spaces</w:t>
      </w:r>
      <w:r w:rsidR="00F563A3">
        <w:rPr>
          <w:lang w:eastAsia="zh-CN"/>
        </w:rPr>
        <w:t xml:space="preserve"> are used. </w:t>
      </w:r>
      <w:r w:rsidR="00251DC4">
        <w:rPr>
          <w:lang w:eastAsia="zh-CN"/>
        </w:rPr>
        <w:t>Thus in challenging channel conditions</w:t>
      </w:r>
      <w:r w:rsidR="00451304">
        <w:rPr>
          <w:lang w:eastAsia="zh-CN"/>
        </w:rPr>
        <w:t>, when e.g. gNodeB wants to transmit simultaneously downlink assignment, uplink grant and UE group common control, aggregation levels up to 16 are needed.</w:t>
      </w:r>
    </w:p>
    <w:p w:rsidR="00F563A3" w:rsidRPr="00845415" w:rsidRDefault="00451304" w:rsidP="004A34FF">
      <w:pPr>
        <w:jc w:val="left"/>
        <w:rPr>
          <w:lang w:eastAsia="zh-CN"/>
        </w:rPr>
      </w:pPr>
      <w:r w:rsidRPr="00C84CF7">
        <w:rPr>
          <w:b/>
          <w:lang w:eastAsia="zh-CN"/>
        </w:rPr>
        <w:t>Observation:</w:t>
      </w:r>
      <w:r>
        <w:rPr>
          <w:b/>
          <w:lang w:eastAsia="zh-CN"/>
        </w:rPr>
        <w:t xml:space="preserve"> Aggregation level 16 should be supported in NR.</w:t>
      </w:r>
    </w:p>
    <w:p w:rsidR="00284961" w:rsidRDefault="00284961" w:rsidP="00284961">
      <w:pPr>
        <w:pStyle w:val="Heading1"/>
      </w:pPr>
      <w:r>
        <w:t>Conclusions</w:t>
      </w:r>
    </w:p>
    <w:p w:rsidR="002579BE" w:rsidRPr="0050402E" w:rsidRDefault="0046653A" w:rsidP="00265073">
      <w:r>
        <w:t xml:space="preserve">In this paper, </w:t>
      </w:r>
      <w:r w:rsidR="00402052">
        <w:t>following observations and proposal were presented</w:t>
      </w:r>
      <w:r w:rsidR="00F84F7D">
        <w:t>:</w:t>
      </w:r>
    </w:p>
    <w:p w:rsidR="00AD3F5B" w:rsidRDefault="00F84F7D" w:rsidP="00F84F7D">
      <w:pPr>
        <w:contextualSpacing/>
        <w:rPr>
          <w:b/>
          <w:szCs w:val="20"/>
        </w:rPr>
      </w:pPr>
      <w:r w:rsidRPr="00BE58EF">
        <w:rPr>
          <w:b/>
          <w:szCs w:val="20"/>
        </w:rPr>
        <w:t>Observation:</w:t>
      </w:r>
      <w:r>
        <w:rPr>
          <w:b/>
          <w:szCs w:val="20"/>
        </w:rPr>
        <w:t xml:space="preserve"> Distributed NR-REG to NR-CCE mapping will determine the upper limit for the signaling of the used physical recourses</w:t>
      </w:r>
      <w:r w:rsidR="00A52455">
        <w:rPr>
          <w:b/>
          <w:szCs w:val="20"/>
        </w:rPr>
        <w:t xml:space="preserve"> (physical NR-REG bundle positions in resource grid).</w:t>
      </w:r>
    </w:p>
    <w:p w:rsidR="00CA2DE1" w:rsidRPr="00CA2DE1" w:rsidRDefault="00CA2DE1" w:rsidP="0046653A">
      <w:pPr>
        <w:contextualSpacing/>
        <w:rPr>
          <w:b/>
          <w:szCs w:val="20"/>
        </w:rPr>
      </w:pPr>
    </w:p>
    <w:p w:rsidR="00AD3F5B" w:rsidRPr="00BE58EF" w:rsidRDefault="00F84F7D" w:rsidP="00F84F7D">
      <w:pPr>
        <w:contextualSpacing/>
        <w:rPr>
          <w:b/>
          <w:szCs w:val="20"/>
        </w:rPr>
      </w:pPr>
      <w:r>
        <w:rPr>
          <w:b/>
          <w:szCs w:val="20"/>
        </w:rPr>
        <w:t>Proposal: Symmetrical NR-REG bundle to physical recourses mapping should be used in NR.</w:t>
      </w:r>
    </w:p>
    <w:p w:rsidR="00CA2DE1" w:rsidRPr="00CA2DE1" w:rsidRDefault="00CA2DE1" w:rsidP="0046653A">
      <w:pPr>
        <w:contextualSpacing/>
        <w:rPr>
          <w:b/>
          <w:szCs w:val="20"/>
        </w:rPr>
      </w:pPr>
    </w:p>
    <w:p w:rsidR="00CA2DE1" w:rsidRDefault="00CA2DE1" w:rsidP="00CA2DE1">
      <w:pPr>
        <w:rPr>
          <w:b/>
        </w:rPr>
      </w:pPr>
      <w:r w:rsidRPr="00B83514">
        <w:rPr>
          <w:b/>
        </w:rPr>
        <w:t xml:space="preserve">Observation: Interleaving could also be done </w:t>
      </w:r>
      <w:r>
        <w:rPr>
          <w:b/>
        </w:rPr>
        <w:t xml:space="preserve">in </w:t>
      </w:r>
      <w:r w:rsidRPr="00B83514">
        <w:rPr>
          <w:b/>
        </w:rPr>
        <w:t>NR-REG bundle wise.</w:t>
      </w:r>
    </w:p>
    <w:p w:rsidR="00CA2DE1" w:rsidRDefault="00CA2DE1" w:rsidP="00CA2DE1">
      <w:pPr>
        <w:jc w:val="left"/>
        <w:rPr>
          <w:b/>
          <w:lang w:eastAsia="zh-CN"/>
        </w:rPr>
      </w:pPr>
      <w:bookmarkStart w:id="7" w:name="_GoBack"/>
      <w:bookmarkEnd w:id="7"/>
      <w:r w:rsidRPr="00845415">
        <w:rPr>
          <w:b/>
          <w:lang w:eastAsia="zh-CN"/>
        </w:rPr>
        <w:t>Observation:</w:t>
      </w:r>
      <w:r>
        <w:rPr>
          <w:b/>
          <w:lang w:eastAsia="zh-CN"/>
        </w:rPr>
        <w:t xml:space="preserve"> Two CORESET configuration cannot be supported and used as a backup method with all system bandwidths and control region sizes to time dimension.</w:t>
      </w:r>
    </w:p>
    <w:p w:rsidR="00CA2DE1" w:rsidRPr="00CA2DE1" w:rsidRDefault="00451304" w:rsidP="00CA2DE1">
      <w:pPr>
        <w:rPr>
          <w:rFonts w:eastAsia="Times New Roman"/>
          <w:b/>
          <w:bCs/>
          <w:lang w:eastAsia="zh-CN"/>
        </w:rPr>
      </w:pPr>
      <w:r w:rsidRPr="00B72973">
        <w:rPr>
          <w:b/>
          <w:lang w:eastAsia="zh-CN"/>
        </w:rPr>
        <w:t>Observation:</w:t>
      </w:r>
      <w:r>
        <w:rPr>
          <w:b/>
          <w:lang w:eastAsia="zh-CN"/>
        </w:rPr>
        <w:t xml:space="preserve"> Aggregation level 16 should be supported in NR.</w:t>
      </w:r>
    </w:p>
    <w:p w:rsidR="00CA2DE1" w:rsidRPr="00CA2DE1" w:rsidRDefault="00CA2DE1" w:rsidP="0046653A">
      <w:pPr>
        <w:rPr>
          <w:b/>
          <w:lang w:val="en-GB" w:eastAsia="zh-CN"/>
        </w:rPr>
      </w:pPr>
    </w:p>
    <w:p w:rsidR="00284961" w:rsidRPr="00284961" w:rsidRDefault="00284961" w:rsidP="00284961">
      <w:pPr>
        <w:pStyle w:val="Heading1"/>
      </w:pPr>
      <w:r w:rsidRPr="00284961">
        <w:t xml:space="preserve">Reference </w:t>
      </w:r>
    </w:p>
    <w:p w:rsidR="000F11EA" w:rsidRPr="000F11EA" w:rsidRDefault="00FA41AC" w:rsidP="000F11EA">
      <w:pPr>
        <w:pStyle w:val="ListParagraph"/>
        <w:numPr>
          <w:ilvl w:val="0"/>
          <w:numId w:val="10"/>
        </w:numPr>
        <w:ind w:firstLineChars="0"/>
        <w:rPr>
          <w:rFonts w:eastAsia="MS Mincho" w:cs="Arial"/>
          <w:bCs/>
          <w:sz w:val="24"/>
          <w:szCs w:val="24"/>
        </w:rPr>
      </w:pPr>
      <w:bookmarkStart w:id="8" w:name="_Ref470186095"/>
      <w:bookmarkStart w:id="9" w:name="_Ref477261139"/>
      <w:bookmarkStart w:id="10" w:name="_Ref479755847"/>
      <w:r>
        <w:rPr>
          <w:rFonts w:eastAsia="MS Mincho" w:cs="Arial"/>
          <w:bCs/>
          <w:sz w:val="24"/>
          <w:szCs w:val="24"/>
        </w:rPr>
        <w:t>3GPP TSG RAN WG1 Meeting #88bis</w:t>
      </w:r>
      <w:r w:rsidR="006053B1">
        <w:rPr>
          <w:rFonts w:eastAsia="MS Mincho" w:cs="Arial"/>
          <w:bCs/>
          <w:sz w:val="24"/>
          <w:szCs w:val="24"/>
        </w:rPr>
        <w:t xml:space="preserve">, </w:t>
      </w:r>
      <w:bookmarkEnd w:id="8"/>
      <w:bookmarkEnd w:id="9"/>
      <w:r w:rsidR="00DF1F92">
        <w:rPr>
          <w:rFonts w:eastAsia="MS Mincho" w:cs="Arial"/>
          <w:bCs/>
          <w:sz w:val="24"/>
          <w:szCs w:val="24"/>
        </w:rPr>
        <w:t>“</w:t>
      </w:r>
      <w:r>
        <w:rPr>
          <w:rFonts w:eastAsia="MS Mincho" w:cs="Arial"/>
          <w:bCs/>
          <w:sz w:val="24"/>
          <w:szCs w:val="24"/>
        </w:rPr>
        <w:t>RAN1 Chairman’s Notes</w:t>
      </w:r>
      <w:r w:rsidR="00DF1F92">
        <w:rPr>
          <w:rFonts w:eastAsia="MS Mincho" w:cs="Arial"/>
          <w:bCs/>
          <w:sz w:val="24"/>
          <w:szCs w:val="24"/>
        </w:rPr>
        <w:t>”</w:t>
      </w:r>
      <w:bookmarkEnd w:id="10"/>
    </w:p>
    <w:sectPr w:rsidR="000F11EA" w:rsidRPr="000F11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01B" w:rsidRDefault="00F2601B" w:rsidP="00284961">
      <w:pPr>
        <w:spacing w:after="0"/>
      </w:pPr>
      <w:r>
        <w:separator/>
      </w:r>
    </w:p>
  </w:endnote>
  <w:endnote w:type="continuationSeparator" w:id="0">
    <w:p w:rsidR="00F2601B" w:rsidRDefault="00F2601B"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01B" w:rsidRDefault="00F2601B" w:rsidP="00284961">
      <w:pPr>
        <w:spacing w:after="0"/>
      </w:pPr>
      <w:r>
        <w:separator/>
      </w:r>
    </w:p>
  </w:footnote>
  <w:footnote w:type="continuationSeparator" w:id="0">
    <w:p w:rsidR="00F2601B" w:rsidRDefault="00F2601B"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2B5792A"/>
    <w:multiLevelType w:val="hybridMultilevel"/>
    <w:tmpl w:val="3D64949A"/>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4">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9">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0">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5">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6">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8">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20">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2">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4">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6">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7">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28">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9">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0">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31">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23"/>
  </w:num>
  <w:num w:numId="6">
    <w:abstractNumId w:val="8"/>
  </w:num>
  <w:num w:numId="7">
    <w:abstractNumId w:val="9"/>
  </w:num>
  <w:num w:numId="8">
    <w:abstractNumId w:val="30"/>
  </w:num>
  <w:num w:numId="9">
    <w:abstractNumId w:val="10"/>
  </w:num>
  <w:num w:numId="10">
    <w:abstractNumId w:val="20"/>
  </w:num>
  <w:num w:numId="1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2"/>
  </w:num>
  <w:num w:numId="13">
    <w:abstractNumId w:val="24"/>
  </w:num>
  <w:num w:numId="14">
    <w:abstractNumId w:val="17"/>
  </w:num>
  <w:num w:numId="15">
    <w:abstractNumId w:val="27"/>
  </w:num>
  <w:num w:numId="16">
    <w:abstractNumId w:val="35"/>
  </w:num>
  <w:num w:numId="17">
    <w:abstractNumId w:val="25"/>
  </w:num>
  <w:num w:numId="18">
    <w:abstractNumId w:val="33"/>
  </w:num>
  <w:num w:numId="19">
    <w:abstractNumId w:val="12"/>
  </w:num>
  <w:num w:numId="20">
    <w:abstractNumId w:val="36"/>
  </w:num>
  <w:num w:numId="21">
    <w:abstractNumId w:val="5"/>
  </w:num>
  <w:num w:numId="22">
    <w:abstractNumId w:val="11"/>
  </w:num>
  <w:num w:numId="23">
    <w:abstractNumId w:val="16"/>
  </w:num>
  <w:num w:numId="24">
    <w:abstractNumId w:val="6"/>
  </w:num>
  <w:num w:numId="25">
    <w:abstractNumId w:val="18"/>
  </w:num>
  <w:num w:numId="26">
    <w:abstractNumId w:val="7"/>
  </w:num>
  <w:num w:numId="27">
    <w:abstractNumId w:val="31"/>
  </w:num>
  <w:num w:numId="28">
    <w:abstractNumId w:val="32"/>
  </w:num>
  <w:num w:numId="29">
    <w:abstractNumId w:val="34"/>
  </w:num>
  <w:num w:numId="30">
    <w:abstractNumId w:val="21"/>
  </w:num>
  <w:num w:numId="31">
    <w:abstractNumId w:val="4"/>
  </w:num>
  <w:num w:numId="32">
    <w:abstractNumId w:val="3"/>
  </w:num>
  <w:num w:numId="33">
    <w:abstractNumId w:val="29"/>
  </w:num>
  <w:num w:numId="34">
    <w:abstractNumId w:val="26"/>
  </w:num>
  <w:num w:numId="35">
    <w:abstractNumId w:val="14"/>
  </w:num>
  <w:num w:numId="36">
    <w:abstractNumId w:val="19"/>
  </w:num>
  <w:num w:numId="37">
    <w:abstractNumId w:val="13"/>
  </w:num>
  <w:num w:numId="38">
    <w:abstractNumId w:val="28"/>
  </w:num>
  <w:num w:numId="39">
    <w:abstractNumId w:val="15"/>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2D32"/>
    <w:rsid w:val="000049F0"/>
    <w:rsid w:val="00011CDF"/>
    <w:rsid w:val="00017C45"/>
    <w:rsid w:val="00017E8F"/>
    <w:rsid w:val="00022184"/>
    <w:rsid w:val="00022635"/>
    <w:rsid w:val="0002269F"/>
    <w:rsid w:val="000253B9"/>
    <w:rsid w:val="0002542D"/>
    <w:rsid w:val="00025AEB"/>
    <w:rsid w:val="000265EF"/>
    <w:rsid w:val="000265FD"/>
    <w:rsid w:val="000302CD"/>
    <w:rsid w:val="000331C3"/>
    <w:rsid w:val="000338A1"/>
    <w:rsid w:val="00033C76"/>
    <w:rsid w:val="00034482"/>
    <w:rsid w:val="000350AC"/>
    <w:rsid w:val="00042D29"/>
    <w:rsid w:val="00043314"/>
    <w:rsid w:val="00044AA8"/>
    <w:rsid w:val="00045E46"/>
    <w:rsid w:val="00046AA1"/>
    <w:rsid w:val="000478D7"/>
    <w:rsid w:val="000502D5"/>
    <w:rsid w:val="000505CD"/>
    <w:rsid w:val="00052FE3"/>
    <w:rsid w:val="00054004"/>
    <w:rsid w:val="00054A31"/>
    <w:rsid w:val="00061D4F"/>
    <w:rsid w:val="00063295"/>
    <w:rsid w:val="00063B47"/>
    <w:rsid w:val="00065D12"/>
    <w:rsid w:val="000676E0"/>
    <w:rsid w:val="000679BB"/>
    <w:rsid w:val="00070FC8"/>
    <w:rsid w:val="000727D4"/>
    <w:rsid w:val="000736C1"/>
    <w:rsid w:val="00074623"/>
    <w:rsid w:val="00076342"/>
    <w:rsid w:val="00076C89"/>
    <w:rsid w:val="0008368E"/>
    <w:rsid w:val="00083C9E"/>
    <w:rsid w:val="00084D17"/>
    <w:rsid w:val="00084EC6"/>
    <w:rsid w:val="00086E5E"/>
    <w:rsid w:val="0009287D"/>
    <w:rsid w:val="0009464F"/>
    <w:rsid w:val="00095C20"/>
    <w:rsid w:val="000A022A"/>
    <w:rsid w:val="000A08CC"/>
    <w:rsid w:val="000A15D5"/>
    <w:rsid w:val="000A3AC7"/>
    <w:rsid w:val="000B3DE6"/>
    <w:rsid w:val="000B3DF8"/>
    <w:rsid w:val="000B7F48"/>
    <w:rsid w:val="000C1C2C"/>
    <w:rsid w:val="000C307C"/>
    <w:rsid w:val="000D09E5"/>
    <w:rsid w:val="000D30DB"/>
    <w:rsid w:val="000D3C79"/>
    <w:rsid w:val="000D7147"/>
    <w:rsid w:val="000D74AD"/>
    <w:rsid w:val="000E1185"/>
    <w:rsid w:val="000E1FD8"/>
    <w:rsid w:val="000E2726"/>
    <w:rsid w:val="000E4F4B"/>
    <w:rsid w:val="000F11EA"/>
    <w:rsid w:val="000F1555"/>
    <w:rsid w:val="000F24E8"/>
    <w:rsid w:val="000F6AC6"/>
    <w:rsid w:val="00101213"/>
    <w:rsid w:val="00101C8B"/>
    <w:rsid w:val="001030E6"/>
    <w:rsid w:val="00105E6C"/>
    <w:rsid w:val="00106020"/>
    <w:rsid w:val="00107F97"/>
    <w:rsid w:val="001100AD"/>
    <w:rsid w:val="001170C3"/>
    <w:rsid w:val="00117A16"/>
    <w:rsid w:val="001200F6"/>
    <w:rsid w:val="001214A8"/>
    <w:rsid w:val="00124C30"/>
    <w:rsid w:val="00130456"/>
    <w:rsid w:val="00130BDB"/>
    <w:rsid w:val="00130C45"/>
    <w:rsid w:val="0013154D"/>
    <w:rsid w:val="00131F60"/>
    <w:rsid w:val="00132CE4"/>
    <w:rsid w:val="00132DEC"/>
    <w:rsid w:val="001349EC"/>
    <w:rsid w:val="00134C46"/>
    <w:rsid w:val="001453AA"/>
    <w:rsid w:val="00150181"/>
    <w:rsid w:val="0015255F"/>
    <w:rsid w:val="0015453B"/>
    <w:rsid w:val="001545E2"/>
    <w:rsid w:val="00154B45"/>
    <w:rsid w:val="00155047"/>
    <w:rsid w:val="00155573"/>
    <w:rsid w:val="00163CCD"/>
    <w:rsid w:val="00165AD6"/>
    <w:rsid w:val="0016611A"/>
    <w:rsid w:val="00166B74"/>
    <w:rsid w:val="00170022"/>
    <w:rsid w:val="00170562"/>
    <w:rsid w:val="00170A88"/>
    <w:rsid w:val="00174077"/>
    <w:rsid w:val="00177303"/>
    <w:rsid w:val="00180214"/>
    <w:rsid w:val="00181420"/>
    <w:rsid w:val="001823E2"/>
    <w:rsid w:val="00182C98"/>
    <w:rsid w:val="00184AB9"/>
    <w:rsid w:val="001978AA"/>
    <w:rsid w:val="001A05F0"/>
    <w:rsid w:val="001A3B66"/>
    <w:rsid w:val="001A3BE5"/>
    <w:rsid w:val="001A418F"/>
    <w:rsid w:val="001A47B1"/>
    <w:rsid w:val="001A590C"/>
    <w:rsid w:val="001B0218"/>
    <w:rsid w:val="001B194D"/>
    <w:rsid w:val="001B4AE1"/>
    <w:rsid w:val="001B6716"/>
    <w:rsid w:val="001C2BB3"/>
    <w:rsid w:val="001D08B1"/>
    <w:rsid w:val="001E257E"/>
    <w:rsid w:val="001E2C0C"/>
    <w:rsid w:val="001E4601"/>
    <w:rsid w:val="001E6809"/>
    <w:rsid w:val="001F02E3"/>
    <w:rsid w:val="001F3634"/>
    <w:rsid w:val="001F399C"/>
    <w:rsid w:val="001F6415"/>
    <w:rsid w:val="001F6998"/>
    <w:rsid w:val="001F6E07"/>
    <w:rsid w:val="001F76EF"/>
    <w:rsid w:val="002043D9"/>
    <w:rsid w:val="00205008"/>
    <w:rsid w:val="00205A83"/>
    <w:rsid w:val="00206B19"/>
    <w:rsid w:val="002113D7"/>
    <w:rsid w:val="00212925"/>
    <w:rsid w:val="002161B7"/>
    <w:rsid w:val="00217A82"/>
    <w:rsid w:val="002219C8"/>
    <w:rsid w:val="0022450E"/>
    <w:rsid w:val="00225094"/>
    <w:rsid w:val="00225321"/>
    <w:rsid w:val="00230C03"/>
    <w:rsid w:val="00230E24"/>
    <w:rsid w:val="00234EC7"/>
    <w:rsid w:val="002367DD"/>
    <w:rsid w:val="00242859"/>
    <w:rsid w:val="0024689E"/>
    <w:rsid w:val="002469E4"/>
    <w:rsid w:val="00246E6E"/>
    <w:rsid w:val="0024708E"/>
    <w:rsid w:val="002474EE"/>
    <w:rsid w:val="00247EBF"/>
    <w:rsid w:val="00251568"/>
    <w:rsid w:val="00251DC4"/>
    <w:rsid w:val="00252508"/>
    <w:rsid w:val="00256046"/>
    <w:rsid w:val="002579BE"/>
    <w:rsid w:val="002618E0"/>
    <w:rsid w:val="0026344C"/>
    <w:rsid w:val="002634E3"/>
    <w:rsid w:val="00263AC8"/>
    <w:rsid w:val="00265073"/>
    <w:rsid w:val="00267CAA"/>
    <w:rsid w:val="00270980"/>
    <w:rsid w:val="00273CD7"/>
    <w:rsid w:val="00274729"/>
    <w:rsid w:val="00276080"/>
    <w:rsid w:val="00280767"/>
    <w:rsid w:val="002819DF"/>
    <w:rsid w:val="002823CE"/>
    <w:rsid w:val="00284352"/>
    <w:rsid w:val="00284961"/>
    <w:rsid w:val="00286DE9"/>
    <w:rsid w:val="00287769"/>
    <w:rsid w:val="002907A0"/>
    <w:rsid w:val="00291854"/>
    <w:rsid w:val="00291B98"/>
    <w:rsid w:val="00292F29"/>
    <w:rsid w:val="00293199"/>
    <w:rsid w:val="00296619"/>
    <w:rsid w:val="00296694"/>
    <w:rsid w:val="002967A8"/>
    <w:rsid w:val="002A2250"/>
    <w:rsid w:val="002A3F52"/>
    <w:rsid w:val="002A67D9"/>
    <w:rsid w:val="002B0D16"/>
    <w:rsid w:val="002B1EF4"/>
    <w:rsid w:val="002B2124"/>
    <w:rsid w:val="002B314F"/>
    <w:rsid w:val="002C2042"/>
    <w:rsid w:val="002C3492"/>
    <w:rsid w:val="002D0470"/>
    <w:rsid w:val="002D08DC"/>
    <w:rsid w:val="002D3A6F"/>
    <w:rsid w:val="002D4EE1"/>
    <w:rsid w:val="002E337B"/>
    <w:rsid w:val="002E5428"/>
    <w:rsid w:val="002E71C8"/>
    <w:rsid w:val="002F2B00"/>
    <w:rsid w:val="002F3498"/>
    <w:rsid w:val="002F7EA5"/>
    <w:rsid w:val="003002BB"/>
    <w:rsid w:val="00300886"/>
    <w:rsid w:val="00304026"/>
    <w:rsid w:val="003073E1"/>
    <w:rsid w:val="00311A5A"/>
    <w:rsid w:val="0031690A"/>
    <w:rsid w:val="00322768"/>
    <w:rsid w:val="00322DF5"/>
    <w:rsid w:val="00323A1A"/>
    <w:rsid w:val="00327E2E"/>
    <w:rsid w:val="0033255D"/>
    <w:rsid w:val="00332CC6"/>
    <w:rsid w:val="0033401A"/>
    <w:rsid w:val="003353CE"/>
    <w:rsid w:val="00337258"/>
    <w:rsid w:val="00340B50"/>
    <w:rsid w:val="00343CD0"/>
    <w:rsid w:val="00343FF4"/>
    <w:rsid w:val="0034495A"/>
    <w:rsid w:val="0034567C"/>
    <w:rsid w:val="00345F4C"/>
    <w:rsid w:val="003468E2"/>
    <w:rsid w:val="00350AC5"/>
    <w:rsid w:val="00353087"/>
    <w:rsid w:val="0035387D"/>
    <w:rsid w:val="00353DC5"/>
    <w:rsid w:val="00354F65"/>
    <w:rsid w:val="00356133"/>
    <w:rsid w:val="00361CC3"/>
    <w:rsid w:val="0036246D"/>
    <w:rsid w:val="00362A3C"/>
    <w:rsid w:val="00363614"/>
    <w:rsid w:val="00364071"/>
    <w:rsid w:val="00366D31"/>
    <w:rsid w:val="00375C55"/>
    <w:rsid w:val="0038013B"/>
    <w:rsid w:val="003815C8"/>
    <w:rsid w:val="00385478"/>
    <w:rsid w:val="003877D8"/>
    <w:rsid w:val="0039076D"/>
    <w:rsid w:val="00391490"/>
    <w:rsid w:val="00391EA9"/>
    <w:rsid w:val="00394109"/>
    <w:rsid w:val="0039540C"/>
    <w:rsid w:val="00396668"/>
    <w:rsid w:val="003A05CA"/>
    <w:rsid w:val="003A4602"/>
    <w:rsid w:val="003A555C"/>
    <w:rsid w:val="003B0014"/>
    <w:rsid w:val="003B32B5"/>
    <w:rsid w:val="003B3E5A"/>
    <w:rsid w:val="003B5986"/>
    <w:rsid w:val="003B63BA"/>
    <w:rsid w:val="003B64DE"/>
    <w:rsid w:val="003C0126"/>
    <w:rsid w:val="003C2662"/>
    <w:rsid w:val="003C2C5D"/>
    <w:rsid w:val="003C31FD"/>
    <w:rsid w:val="003C4507"/>
    <w:rsid w:val="003C4883"/>
    <w:rsid w:val="003C4A18"/>
    <w:rsid w:val="003C7D50"/>
    <w:rsid w:val="003D2904"/>
    <w:rsid w:val="003D385A"/>
    <w:rsid w:val="003D5BBB"/>
    <w:rsid w:val="003D64F2"/>
    <w:rsid w:val="003E3616"/>
    <w:rsid w:val="003E4FB7"/>
    <w:rsid w:val="003E596B"/>
    <w:rsid w:val="003E7588"/>
    <w:rsid w:val="003F1223"/>
    <w:rsid w:val="003F3718"/>
    <w:rsid w:val="004010AD"/>
    <w:rsid w:val="00402052"/>
    <w:rsid w:val="00404E43"/>
    <w:rsid w:val="00404EB8"/>
    <w:rsid w:val="00405D9E"/>
    <w:rsid w:val="00405FE6"/>
    <w:rsid w:val="0040728A"/>
    <w:rsid w:val="0040737A"/>
    <w:rsid w:val="00410ADE"/>
    <w:rsid w:val="0041368A"/>
    <w:rsid w:val="00416C6A"/>
    <w:rsid w:val="0042124A"/>
    <w:rsid w:val="004213E9"/>
    <w:rsid w:val="00422A7F"/>
    <w:rsid w:val="004231A6"/>
    <w:rsid w:val="00425B04"/>
    <w:rsid w:val="00427EBD"/>
    <w:rsid w:val="0043220F"/>
    <w:rsid w:val="00432E7B"/>
    <w:rsid w:val="00433972"/>
    <w:rsid w:val="004368B3"/>
    <w:rsid w:val="00437042"/>
    <w:rsid w:val="00445603"/>
    <w:rsid w:val="00445EE1"/>
    <w:rsid w:val="00445FA0"/>
    <w:rsid w:val="0044744D"/>
    <w:rsid w:val="00447545"/>
    <w:rsid w:val="00447AE6"/>
    <w:rsid w:val="00447E80"/>
    <w:rsid w:val="004500D2"/>
    <w:rsid w:val="00450D6A"/>
    <w:rsid w:val="00451304"/>
    <w:rsid w:val="00452EAD"/>
    <w:rsid w:val="0045532F"/>
    <w:rsid w:val="00455F69"/>
    <w:rsid w:val="00461088"/>
    <w:rsid w:val="00461A80"/>
    <w:rsid w:val="00461BD8"/>
    <w:rsid w:val="00461D77"/>
    <w:rsid w:val="00462D67"/>
    <w:rsid w:val="00463012"/>
    <w:rsid w:val="0046442B"/>
    <w:rsid w:val="00464560"/>
    <w:rsid w:val="0046526A"/>
    <w:rsid w:val="0046653A"/>
    <w:rsid w:val="004666C1"/>
    <w:rsid w:val="00466CE3"/>
    <w:rsid w:val="00467F68"/>
    <w:rsid w:val="0047314A"/>
    <w:rsid w:val="00473441"/>
    <w:rsid w:val="004740F3"/>
    <w:rsid w:val="0047580F"/>
    <w:rsid w:val="00480537"/>
    <w:rsid w:val="004809CE"/>
    <w:rsid w:val="00481521"/>
    <w:rsid w:val="00482572"/>
    <w:rsid w:val="00485DC4"/>
    <w:rsid w:val="00490992"/>
    <w:rsid w:val="00493BD9"/>
    <w:rsid w:val="00494311"/>
    <w:rsid w:val="00494D38"/>
    <w:rsid w:val="00495074"/>
    <w:rsid w:val="00495806"/>
    <w:rsid w:val="004969F8"/>
    <w:rsid w:val="00497E42"/>
    <w:rsid w:val="004A34FF"/>
    <w:rsid w:val="004A4814"/>
    <w:rsid w:val="004B1F89"/>
    <w:rsid w:val="004B35ED"/>
    <w:rsid w:val="004B7097"/>
    <w:rsid w:val="004B78EE"/>
    <w:rsid w:val="004C0C6D"/>
    <w:rsid w:val="004C40F7"/>
    <w:rsid w:val="004C4428"/>
    <w:rsid w:val="004C78C8"/>
    <w:rsid w:val="004D3872"/>
    <w:rsid w:val="004D78F9"/>
    <w:rsid w:val="004E6E7F"/>
    <w:rsid w:val="004E7BE8"/>
    <w:rsid w:val="004F2566"/>
    <w:rsid w:val="004F3130"/>
    <w:rsid w:val="004F354C"/>
    <w:rsid w:val="004F44E5"/>
    <w:rsid w:val="004F6791"/>
    <w:rsid w:val="004F6C37"/>
    <w:rsid w:val="005039B6"/>
    <w:rsid w:val="0050402E"/>
    <w:rsid w:val="00507909"/>
    <w:rsid w:val="00510A24"/>
    <w:rsid w:val="0051100E"/>
    <w:rsid w:val="00513E8D"/>
    <w:rsid w:val="0051630E"/>
    <w:rsid w:val="00521AE7"/>
    <w:rsid w:val="0052364C"/>
    <w:rsid w:val="0052411C"/>
    <w:rsid w:val="00524365"/>
    <w:rsid w:val="00524A7B"/>
    <w:rsid w:val="00526A4D"/>
    <w:rsid w:val="00530749"/>
    <w:rsid w:val="005357A2"/>
    <w:rsid w:val="00537E73"/>
    <w:rsid w:val="0054201E"/>
    <w:rsid w:val="005461CF"/>
    <w:rsid w:val="00547914"/>
    <w:rsid w:val="00550713"/>
    <w:rsid w:val="0055117D"/>
    <w:rsid w:val="00555948"/>
    <w:rsid w:val="005607F9"/>
    <w:rsid w:val="005632B0"/>
    <w:rsid w:val="0056658D"/>
    <w:rsid w:val="005676A3"/>
    <w:rsid w:val="0057602D"/>
    <w:rsid w:val="00576A42"/>
    <w:rsid w:val="00576FE5"/>
    <w:rsid w:val="00576FE6"/>
    <w:rsid w:val="0058059F"/>
    <w:rsid w:val="00580EF1"/>
    <w:rsid w:val="005837B5"/>
    <w:rsid w:val="005840E9"/>
    <w:rsid w:val="00584140"/>
    <w:rsid w:val="0058444B"/>
    <w:rsid w:val="00593CAA"/>
    <w:rsid w:val="0059566D"/>
    <w:rsid w:val="005961F1"/>
    <w:rsid w:val="005965EA"/>
    <w:rsid w:val="005A0156"/>
    <w:rsid w:val="005A0579"/>
    <w:rsid w:val="005A29EF"/>
    <w:rsid w:val="005A4112"/>
    <w:rsid w:val="005B11D0"/>
    <w:rsid w:val="005B22B1"/>
    <w:rsid w:val="005B2B14"/>
    <w:rsid w:val="005B3038"/>
    <w:rsid w:val="005B44E9"/>
    <w:rsid w:val="005C0B9C"/>
    <w:rsid w:val="005C10C5"/>
    <w:rsid w:val="005C6854"/>
    <w:rsid w:val="005C79F0"/>
    <w:rsid w:val="005D04E6"/>
    <w:rsid w:val="005D2BCB"/>
    <w:rsid w:val="005D3355"/>
    <w:rsid w:val="005D3DDA"/>
    <w:rsid w:val="005D4D19"/>
    <w:rsid w:val="005D5A4A"/>
    <w:rsid w:val="005E062A"/>
    <w:rsid w:val="005E06F3"/>
    <w:rsid w:val="005E084D"/>
    <w:rsid w:val="005E2693"/>
    <w:rsid w:val="005E291D"/>
    <w:rsid w:val="005E3EAA"/>
    <w:rsid w:val="005E6BE8"/>
    <w:rsid w:val="005F6C00"/>
    <w:rsid w:val="005F7659"/>
    <w:rsid w:val="00601080"/>
    <w:rsid w:val="006017B7"/>
    <w:rsid w:val="0060386F"/>
    <w:rsid w:val="006053B1"/>
    <w:rsid w:val="00607C73"/>
    <w:rsid w:val="006103F4"/>
    <w:rsid w:val="00612790"/>
    <w:rsid w:val="00613193"/>
    <w:rsid w:val="00620C8B"/>
    <w:rsid w:val="00621A9F"/>
    <w:rsid w:val="00624EA0"/>
    <w:rsid w:val="0063071C"/>
    <w:rsid w:val="00630C89"/>
    <w:rsid w:val="00630E5C"/>
    <w:rsid w:val="006346FA"/>
    <w:rsid w:val="00634DA3"/>
    <w:rsid w:val="00637136"/>
    <w:rsid w:val="006374E3"/>
    <w:rsid w:val="006411A8"/>
    <w:rsid w:val="006441E7"/>
    <w:rsid w:val="006443FB"/>
    <w:rsid w:val="00644D2F"/>
    <w:rsid w:val="006472FE"/>
    <w:rsid w:val="00647A73"/>
    <w:rsid w:val="006515F2"/>
    <w:rsid w:val="00651E39"/>
    <w:rsid w:val="00652580"/>
    <w:rsid w:val="00654116"/>
    <w:rsid w:val="00655560"/>
    <w:rsid w:val="006564BD"/>
    <w:rsid w:val="00656F71"/>
    <w:rsid w:val="00660244"/>
    <w:rsid w:val="006609CB"/>
    <w:rsid w:val="006626A8"/>
    <w:rsid w:val="006669B7"/>
    <w:rsid w:val="00667910"/>
    <w:rsid w:val="0067047B"/>
    <w:rsid w:val="00673699"/>
    <w:rsid w:val="0067694F"/>
    <w:rsid w:val="006769E3"/>
    <w:rsid w:val="00676B51"/>
    <w:rsid w:val="00676C5E"/>
    <w:rsid w:val="00676CE7"/>
    <w:rsid w:val="006806A4"/>
    <w:rsid w:val="00684CFE"/>
    <w:rsid w:val="00686AC9"/>
    <w:rsid w:val="00690CD5"/>
    <w:rsid w:val="0069146C"/>
    <w:rsid w:val="00691BD4"/>
    <w:rsid w:val="0069377D"/>
    <w:rsid w:val="00693D67"/>
    <w:rsid w:val="00697D2A"/>
    <w:rsid w:val="006A0129"/>
    <w:rsid w:val="006A741C"/>
    <w:rsid w:val="006A7EA1"/>
    <w:rsid w:val="006B081F"/>
    <w:rsid w:val="006B185F"/>
    <w:rsid w:val="006B5645"/>
    <w:rsid w:val="006B7238"/>
    <w:rsid w:val="006C08F3"/>
    <w:rsid w:val="006C10CE"/>
    <w:rsid w:val="006D66CF"/>
    <w:rsid w:val="006D70DF"/>
    <w:rsid w:val="006E1FE8"/>
    <w:rsid w:val="006E6A62"/>
    <w:rsid w:val="006F297C"/>
    <w:rsid w:val="006F3127"/>
    <w:rsid w:val="006F52D0"/>
    <w:rsid w:val="006F5E42"/>
    <w:rsid w:val="006F7016"/>
    <w:rsid w:val="006F74A1"/>
    <w:rsid w:val="006F7A49"/>
    <w:rsid w:val="0070210C"/>
    <w:rsid w:val="00703C8C"/>
    <w:rsid w:val="007052CB"/>
    <w:rsid w:val="007075E5"/>
    <w:rsid w:val="00711BCE"/>
    <w:rsid w:val="007147EB"/>
    <w:rsid w:val="007155DF"/>
    <w:rsid w:val="00717492"/>
    <w:rsid w:val="00720199"/>
    <w:rsid w:val="00720AF5"/>
    <w:rsid w:val="00726CA4"/>
    <w:rsid w:val="007427B5"/>
    <w:rsid w:val="00743200"/>
    <w:rsid w:val="007453F4"/>
    <w:rsid w:val="00747522"/>
    <w:rsid w:val="00750588"/>
    <w:rsid w:val="007515AB"/>
    <w:rsid w:val="007528F8"/>
    <w:rsid w:val="0075605D"/>
    <w:rsid w:val="00756A69"/>
    <w:rsid w:val="007572AA"/>
    <w:rsid w:val="00757FD8"/>
    <w:rsid w:val="00761D0A"/>
    <w:rsid w:val="00761DF1"/>
    <w:rsid w:val="00762F6B"/>
    <w:rsid w:val="00764FD5"/>
    <w:rsid w:val="00771047"/>
    <w:rsid w:val="0077124F"/>
    <w:rsid w:val="0077223C"/>
    <w:rsid w:val="007754B5"/>
    <w:rsid w:val="00776052"/>
    <w:rsid w:val="00780263"/>
    <w:rsid w:val="00782258"/>
    <w:rsid w:val="00783177"/>
    <w:rsid w:val="0078601D"/>
    <w:rsid w:val="007869A6"/>
    <w:rsid w:val="0079117E"/>
    <w:rsid w:val="00793F29"/>
    <w:rsid w:val="00794F1A"/>
    <w:rsid w:val="00795E88"/>
    <w:rsid w:val="007A1E81"/>
    <w:rsid w:val="007A4C04"/>
    <w:rsid w:val="007B4FB9"/>
    <w:rsid w:val="007B5811"/>
    <w:rsid w:val="007B66A0"/>
    <w:rsid w:val="007B6AE8"/>
    <w:rsid w:val="007B6E85"/>
    <w:rsid w:val="007C3E55"/>
    <w:rsid w:val="007C3E75"/>
    <w:rsid w:val="007C427E"/>
    <w:rsid w:val="007C4693"/>
    <w:rsid w:val="007D0030"/>
    <w:rsid w:val="007D0316"/>
    <w:rsid w:val="007D1F33"/>
    <w:rsid w:val="007D2711"/>
    <w:rsid w:val="007D29AD"/>
    <w:rsid w:val="007D512B"/>
    <w:rsid w:val="007D5504"/>
    <w:rsid w:val="007D552B"/>
    <w:rsid w:val="007D5F92"/>
    <w:rsid w:val="007E365B"/>
    <w:rsid w:val="007E43E5"/>
    <w:rsid w:val="007E511F"/>
    <w:rsid w:val="007F6603"/>
    <w:rsid w:val="007F678A"/>
    <w:rsid w:val="007F6E1E"/>
    <w:rsid w:val="007F7A11"/>
    <w:rsid w:val="008015B3"/>
    <w:rsid w:val="00801AC1"/>
    <w:rsid w:val="00801F66"/>
    <w:rsid w:val="00804467"/>
    <w:rsid w:val="00807226"/>
    <w:rsid w:val="00811404"/>
    <w:rsid w:val="00811A75"/>
    <w:rsid w:val="00812519"/>
    <w:rsid w:val="008126CD"/>
    <w:rsid w:val="00816EFE"/>
    <w:rsid w:val="00822602"/>
    <w:rsid w:val="00824D8F"/>
    <w:rsid w:val="00825FB7"/>
    <w:rsid w:val="008344E8"/>
    <w:rsid w:val="00842E53"/>
    <w:rsid w:val="0084368A"/>
    <w:rsid w:val="0084409F"/>
    <w:rsid w:val="00845415"/>
    <w:rsid w:val="00850764"/>
    <w:rsid w:val="00853439"/>
    <w:rsid w:val="00853544"/>
    <w:rsid w:val="0085744C"/>
    <w:rsid w:val="00867E95"/>
    <w:rsid w:val="00873322"/>
    <w:rsid w:val="00874B1E"/>
    <w:rsid w:val="00874E41"/>
    <w:rsid w:val="0087586D"/>
    <w:rsid w:val="00876A3E"/>
    <w:rsid w:val="00877774"/>
    <w:rsid w:val="008777AA"/>
    <w:rsid w:val="0088723A"/>
    <w:rsid w:val="00887614"/>
    <w:rsid w:val="00891A0A"/>
    <w:rsid w:val="008927D0"/>
    <w:rsid w:val="0089501F"/>
    <w:rsid w:val="00895793"/>
    <w:rsid w:val="00896771"/>
    <w:rsid w:val="00897669"/>
    <w:rsid w:val="008A0497"/>
    <w:rsid w:val="008A0DF5"/>
    <w:rsid w:val="008A205D"/>
    <w:rsid w:val="008A2379"/>
    <w:rsid w:val="008A525E"/>
    <w:rsid w:val="008A5A1F"/>
    <w:rsid w:val="008B2B18"/>
    <w:rsid w:val="008B4C94"/>
    <w:rsid w:val="008B6E87"/>
    <w:rsid w:val="008C01B1"/>
    <w:rsid w:val="008C0AC4"/>
    <w:rsid w:val="008C0B10"/>
    <w:rsid w:val="008C3BA9"/>
    <w:rsid w:val="008C4012"/>
    <w:rsid w:val="008D43ED"/>
    <w:rsid w:val="008E0C2E"/>
    <w:rsid w:val="008E56F3"/>
    <w:rsid w:val="008E66F6"/>
    <w:rsid w:val="008F12C9"/>
    <w:rsid w:val="008F4C63"/>
    <w:rsid w:val="008F723C"/>
    <w:rsid w:val="008F73A8"/>
    <w:rsid w:val="008F752C"/>
    <w:rsid w:val="00902A54"/>
    <w:rsid w:val="00904DA5"/>
    <w:rsid w:val="00904FFC"/>
    <w:rsid w:val="00906211"/>
    <w:rsid w:val="0090675F"/>
    <w:rsid w:val="00907801"/>
    <w:rsid w:val="0091047C"/>
    <w:rsid w:val="00910CAE"/>
    <w:rsid w:val="009121D1"/>
    <w:rsid w:val="009141A1"/>
    <w:rsid w:val="0091672F"/>
    <w:rsid w:val="009223C5"/>
    <w:rsid w:val="00930622"/>
    <w:rsid w:val="0093183E"/>
    <w:rsid w:val="00933172"/>
    <w:rsid w:val="00933500"/>
    <w:rsid w:val="00941DA7"/>
    <w:rsid w:val="00942E23"/>
    <w:rsid w:val="00942EC6"/>
    <w:rsid w:val="009442FC"/>
    <w:rsid w:val="00950B83"/>
    <w:rsid w:val="00955414"/>
    <w:rsid w:val="00956B5C"/>
    <w:rsid w:val="00962279"/>
    <w:rsid w:val="00963256"/>
    <w:rsid w:val="009637C5"/>
    <w:rsid w:val="0096420F"/>
    <w:rsid w:val="0096470D"/>
    <w:rsid w:val="00965A19"/>
    <w:rsid w:val="009723A2"/>
    <w:rsid w:val="0097332C"/>
    <w:rsid w:val="00984CD9"/>
    <w:rsid w:val="0098708E"/>
    <w:rsid w:val="00993147"/>
    <w:rsid w:val="00993FD8"/>
    <w:rsid w:val="009956AA"/>
    <w:rsid w:val="00995EF6"/>
    <w:rsid w:val="009A08BD"/>
    <w:rsid w:val="009A4C89"/>
    <w:rsid w:val="009A5602"/>
    <w:rsid w:val="009A56D7"/>
    <w:rsid w:val="009B06BB"/>
    <w:rsid w:val="009C09C9"/>
    <w:rsid w:val="009C1F59"/>
    <w:rsid w:val="009C62E0"/>
    <w:rsid w:val="009D0F6E"/>
    <w:rsid w:val="009D0FF3"/>
    <w:rsid w:val="009D1DDD"/>
    <w:rsid w:val="009D5E06"/>
    <w:rsid w:val="009E1AC3"/>
    <w:rsid w:val="009E219A"/>
    <w:rsid w:val="009E2C3E"/>
    <w:rsid w:val="009E2C53"/>
    <w:rsid w:val="009E2FB6"/>
    <w:rsid w:val="009F032B"/>
    <w:rsid w:val="009F12F2"/>
    <w:rsid w:val="009F3AA3"/>
    <w:rsid w:val="009F590E"/>
    <w:rsid w:val="009F63BC"/>
    <w:rsid w:val="009F6E40"/>
    <w:rsid w:val="00A032CB"/>
    <w:rsid w:val="00A03971"/>
    <w:rsid w:val="00A05752"/>
    <w:rsid w:val="00A10328"/>
    <w:rsid w:val="00A13621"/>
    <w:rsid w:val="00A15A99"/>
    <w:rsid w:val="00A174B4"/>
    <w:rsid w:val="00A20858"/>
    <w:rsid w:val="00A24419"/>
    <w:rsid w:val="00A274FF"/>
    <w:rsid w:val="00A31161"/>
    <w:rsid w:val="00A32190"/>
    <w:rsid w:val="00A32A2A"/>
    <w:rsid w:val="00A33065"/>
    <w:rsid w:val="00A33ADE"/>
    <w:rsid w:val="00A3561F"/>
    <w:rsid w:val="00A35FD1"/>
    <w:rsid w:val="00A40618"/>
    <w:rsid w:val="00A413D2"/>
    <w:rsid w:val="00A449CE"/>
    <w:rsid w:val="00A45BF7"/>
    <w:rsid w:val="00A50E9A"/>
    <w:rsid w:val="00A5104C"/>
    <w:rsid w:val="00A51514"/>
    <w:rsid w:val="00A52455"/>
    <w:rsid w:val="00A52ADD"/>
    <w:rsid w:val="00A57621"/>
    <w:rsid w:val="00A606DA"/>
    <w:rsid w:val="00A61B4D"/>
    <w:rsid w:val="00A62B78"/>
    <w:rsid w:val="00A67BC5"/>
    <w:rsid w:val="00A72A1E"/>
    <w:rsid w:val="00A84097"/>
    <w:rsid w:val="00A85D43"/>
    <w:rsid w:val="00A9423A"/>
    <w:rsid w:val="00A94B26"/>
    <w:rsid w:val="00A955FF"/>
    <w:rsid w:val="00A96AA8"/>
    <w:rsid w:val="00A9711B"/>
    <w:rsid w:val="00AA02B0"/>
    <w:rsid w:val="00AA219B"/>
    <w:rsid w:val="00AA5938"/>
    <w:rsid w:val="00AA6070"/>
    <w:rsid w:val="00AB0E80"/>
    <w:rsid w:val="00AB637F"/>
    <w:rsid w:val="00AB7FB3"/>
    <w:rsid w:val="00AC1F6E"/>
    <w:rsid w:val="00AC3795"/>
    <w:rsid w:val="00AD0295"/>
    <w:rsid w:val="00AD2977"/>
    <w:rsid w:val="00AD3F5B"/>
    <w:rsid w:val="00AD449C"/>
    <w:rsid w:val="00AD6FAF"/>
    <w:rsid w:val="00AE29B5"/>
    <w:rsid w:val="00AE3BD8"/>
    <w:rsid w:val="00AE4EF1"/>
    <w:rsid w:val="00AE5F46"/>
    <w:rsid w:val="00AE72F0"/>
    <w:rsid w:val="00AE76A1"/>
    <w:rsid w:val="00AF368A"/>
    <w:rsid w:val="00B020F4"/>
    <w:rsid w:val="00B04C21"/>
    <w:rsid w:val="00B05AE7"/>
    <w:rsid w:val="00B0785E"/>
    <w:rsid w:val="00B078B3"/>
    <w:rsid w:val="00B10118"/>
    <w:rsid w:val="00B11802"/>
    <w:rsid w:val="00B221A1"/>
    <w:rsid w:val="00B22DC5"/>
    <w:rsid w:val="00B2627F"/>
    <w:rsid w:val="00B30A63"/>
    <w:rsid w:val="00B31367"/>
    <w:rsid w:val="00B31E4A"/>
    <w:rsid w:val="00B3304B"/>
    <w:rsid w:val="00B40E83"/>
    <w:rsid w:val="00B44527"/>
    <w:rsid w:val="00B4698C"/>
    <w:rsid w:val="00B470CE"/>
    <w:rsid w:val="00B51993"/>
    <w:rsid w:val="00B53370"/>
    <w:rsid w:val="00B538F2"/>
    <w:rsid w:val="00B644B7"/>
    <w:rsid w:val="00B658DD"/>
    <w:rsid w:val="00B65969"/>
    <w:rsid w:val="00B7284F"/>
    <w:rsid w:val="00B72E9E"/>
    <w:rsid w:val="00B75970"/>
    <w:rsid w:val="00B82FEC"/>
    <w:rsid w:val="00B83514"/>
    <w:rsid w:val="00B91A21"/>
    <w:rsid w:val="00B95440"/>
    <w:rsid w:val="00BA4040"/>
    <w:rsid w:val="00BA5AE8"/>
    <w:rsid w:val="00BB0DA8"/>
    <w:rsid w:val="00BB0F7B"/>
    <w:rsid w:val="00BB31AB"/>
    <w:rsid w:val="00BB4632"/>
    <w:rsid w:val="00BB5DB6"/>
    <w:rsid w:val="00BC6937"/>
    <w:rsid w:val="00BD0527"/>
    <w:rsid w:val="00BD4082"/>
    <w:rsid w:val="00BD6611"/>
    <w:rsid w:val="00BD733D"/>
    <w:rsid w:val="00BE12C0"/>
    <w:rsid w:val="00BE2089"/>
    <w:rsid w:val="00BE2C7E"/>
    <w:rsid w:val="00BE34A1"/>
    <w:rsid w:val="00BE3D70"/>
    <w:rsid w:val="00BE58EF"/>
    <w:rsid w:val="00BE6603"/>
    <w:rsid w:val="00BF07D5"/>
    <w:rsid w:val="00BF0EB3"/>
    <w:rsid w:val="00BF2C9A"/>
    <w:rsid w:val="00BF3AC7"/>
    <w:rsid w:val="00BF4179"/>
    <w:rsid w:val="00C0167A"/>
    <w:rsid w:val="00C03131"/>
    <w:rsid w:val="00C069AC"/>
    <w:rsid w:val="00C113E3"/>
    <w:rsid w:val="00C11A46"/>
    <w:rsid w:val="00C15CC0"/>
    <w:rsid w:val="00C166E3"/>
    <w:rsid w:val="00C17766"/>
    <w:rsid w:val="00C17CC7"/>
    <w:rsid w:val="00C23D71"/>
    <w:rsid w:val="00C27D49"/>
    <w:rsid w:val="00C315DE"/>
    <w:rsid w:val="00C3460B"/>
    <w:rsid w:val="00C34C98"/>
    <w:rsid w:val="00C36544"/>
    <w:rsid w:val="00C43D5A"/>
    <w:rsid w:val="00C4756D"/>
    <w:rsid w:val="00C502A0"/>
    <w:rsid w:val="00C526D2"/>
    <w:rsid w:val="00C533F1"/>
    <w:rsid w:val="00C5363A"/>
    <w:rsid w:val="00C54780"/>
    <w:rsid w:val="00C555BC"/>
    <w:rsid w:val="00C56517"/>
    <w:rsid w:val="00C631C9"/>
    <w:rsid w:val="00C634B6"/>
    <w:rsid w:val="00C678E7"/>
    <w:rsid w:val="00C75E06"/>
    <w:rsid w:val="00C76CA1"/>
    <w:rsid w:val="00C770E9"/>
    <w:rsid w:val="00C77528"/>
    <w:rsid w:val="00C80098"/>
    <w:rsid w:val="00C8114A"/>
    <w:rsid w:val="00C838A7"/>
    <w:rsid w:val="00C8469E"/>
    <w:rsid w:val="00C84CF7"/>
    <w:rsid w:val="00C86529"/>
    <w:rsid w:val="00C9098B"/>
    <w:rsid w:val="00C90C3A"/>
    <w:rsid w:val="00C93105"/>
    <w:rsid w:val="00C95AE1"/>
    <w:rsid w:val="00CA0DAD"/>
    <w:rsid w:val="00CA2DE1"/>
    <w:rsid w:val="00CA305B"/>
    <w:rsid w:val="00CA364F"/>
    <w:rsid w:val="00CA6391"/>
    <w:rsid w:val="00CA698B"/>
    <w:rsid w:val="00CB0887"/>
    <w:rsid w:val="00CB25D4"/>
    <w:rsid w:val="00CB3E29"/>
    <w:rsid w:val="00CB3FF9"/>
    <w:rsid w:val="00CC3CB7"/>
    <w:rsid w:val="00CC4CBB"/>
    <w:rsid w:val="00CC639A"/>
    <w:rsid w:val="00CD0C69"/>
    <w:rsid w:val="00CD1144"/>
    <w:rsid w:val="00CD2273"/>
    <w:rsid w:val="00CD6CB3"/>
    <w:rsid w:val="00CE1E06"/>
    <w:rsid w:val="00CE4EAB"/>
    <w:rsid w:val="00CE5ED3"/>
    <w:rsid w:val="00CF0B57"/>
    <w:rsid w:val="00CF0B6D"/>
    <w:rsid w:val="00CF3CBB"/>
    <w:rsid w:val="00CF3E3D"/>
    <w:rsid w:val="00D01603"/>
    <w:rsid w:val="00D0660E"/>
    <w:rsid w:val="00D11321"/>
    <w:rsid w:val="00D1211A"/>
    <w:rsid w:val="00D14E5F"/>
    <w:rsid w:val="00D20C47"/>
    <w:rsid w:val="00D2187A"/>
    <w:rsid w:val="00D26568"/>
    <w:rsid w:val="00D265F9"/>
    <w:rsid w:val="00D27868"/>
    <w:rsid w:val="00D34B83"/>
    <w:rsid w:val="00D43734"/>
    <w:rsid w:val="00D51B53"/>
    <w:rsid w:val="00D51DB7"/>
    <w:rsid w:val="00D52FD9"/>
    <w:rsid w:val="00D561F9"/>
    <w:rsid w:val="00D62694"/>
    <w:rsid w:val="00D633D2"/>
    <w:rsid w:val="00D658B9"/>
    <w:rsid w:val="00D704D1"/>
    <w:rsid w:val="00D707AC"/>
    <w:rsid w:val="00D70FC5"/>
    <w:rsid w:val="00D74F31"/>
    <w:rsid w:val="00D771F8"/>
    <w:rsid w:val="00D81EE5"/>
    <w:rsid w:val="00D828DF"/>
    <w:rsid w:val="00D85F63"/>
    <w:rsid w:val="00D92E88"/>
    <w:rsid w:val="00D9689A"/>
    <w:rsid w:val="00D96A5F"/>
    <w:rsid w:val="00D96D5E"/>
    <w:rsid w:val="00DA01A2"/>
    <w:rsid w:val="00DA3CBC"/>
    <w:rsid w:val="00DA6B0B"/>
    <w:rsid w:val="00DA7B84"/>
    <w:rsid w:val="00DB2E15"/>
    <w:rsid w:val="00DB464B"/>
    <w:rsid w:val="00DB72CA"/>
    <w:rsid w:val="00DB7E4D"/>
    <w:rsid w:val="00DD3C97"/>
    <w:rsid w:val="00DD3D56"/>
    <w:rsid w:val="00DD4631"/>
    <w:rsid w:val="00DD4B8B"/>
    <w:rsid w:val="00DD5484"/>
    <w:rsid w:val="00DE39C8"/>
    <w:rsid w:val="00DE4D96"/>
    <w:rsid w:val="00DE4FA8"/>
    <w:rsid w:val="00DE56B1"/>
    <w:rsid w:val="00DE63AC"/>
    <w:rsid w:val="00DE70F7"/>
    <w:rsid w:val="00DF1F92"/>
    <w:rsid w:val="00DF5C1A"/>
    <w:rsid w:val="00E07FFE"/>
    <w:rsid w:val="00E12926"/>
    <w:rsid w:val="00E137AB"/>
    <w:rsid w:val="00E20B89"/>
    <w:rsid w:val="00E25530"/>
    <w:rsid w:val="00E279E2"/>
    <w:rsid w:val="00E32C80"/>
    <w:rsid w:val="00E343BA"/>
    <w:rsid w:val="00E37996"/>
    <w:rsid w:val="00E44819"/>
    <w:rsid w:val="00E476B2"/>
    <w:rsid w:val="00E52F62"/>
    <w:rsid w:val="00E53822"/>
    <w:rsid w:val="00E55260"/>
    <w:rsid w:val="00E569DD"/>
    <w:rsid w:val="00E62AD9"/>
    <w:rsid w:val="00E63720"/>
    <w:rsid w:val="00E66A63"/>
    <w:rsid w:val="00E705DB"/>
    <w:rsid w:val="00E71C35"/>
    <w:rsid w:val="00E71EB3"/>
    <w:rsid w:val="00E8017C"/>
    <w:rsid w:val="00E81848"/>
    <w:rsid w:val="00E82894"/>
    <w:rsid w:val="00E8429B"/>
    <w:rsid w:val="00E93D64"/>
    <w:rsid w:val="00E966A3"/>
    <w:rsid w:val="00EA06FA"/>
    <w:rsid w:val="00EA4CD1"/>
    <w:rsid w:val="00EA50C2"/>
    <w:rsid w:val="00EA6833"/>
    <w:rsid w:val="00EB1DBD"/>
    <w:rsid w:val="00EB38E5"/>
    <w:rsid w:val="00EC01C2"/>
    <w:rsid w:val="00EC0792"/>
    <w:rsid w:val="00EC2703"/>
    <w:rsid w:val="00EC4463"/>
    <w:rsid w:val="00EC6890"/>
    <w:rsid w:val="00ED0040"/>
    <w:rsid w:val="00ED108E"/>
    <w:rsid w:val="00ED4495"/>
    <w:rsid w:val="00ED57DF"/>
    <w:rsid w:val="00ED6336"/>
    <w:rsid w:val="00ED7E4B"/>
    <w:rsid w:val="00EE2478"/>
    <w:rsid w:val="00EE255D"/>
    <w:rsid w:val="00EE25C5"/>
    <w:rsid w:val="00EE2D01"/>
    <w:rsid w:val="00EE3526"/>
    <w:rsid w:val="00EE6296"/>
    <w:rsid w:val="00EF0C2F"/>
    <w:rsid w:val="00EF0EB4"/>
    <w:rsid w:val="00EF1F02"/>
    <w:rsid w:val="00EF2B93"/>
    <w:rsid w:val="00EF4DD3"/>
    <w:rsid w:val="00EF5179"/>
    <w:rsid w:val="00F0088B"/>
    <w:rsid w:val="00F021F6"/>
    <w:rsid w:val="00F047DB"/>
    <w:rsid w:val="00F11EB7"/>
    <w:rsid w:val="00F13206"/>
    <w:rsid w:val="00F141C2"/>
    <w:rsid w:val="00F14D4E"/>
    <w:rsid w:val="00F16B94"/>
    <w:rsid w:val="00F22C19"/>
    <w:rsid w:val="00F23077"/>
    <w:rsid w:val="00F2601B"/>
    <w:rsid w:val="00F260CD"/>
    <w:rsid w:val="00F26B44"/>
    <w:rsid w:val="00F277CB"/>
    <w:rsid w:val="00F30DF6"/>
    <w:rsid w:val="00F354B4"/>
    <w:rsid w:val="00F356B6"/>
    <w:rsid w:val="00F35E0F"/>
    <w:rsid w:val="00F40549"/>
    <w:rsid w:val="00F41236"/>
    <w:rsid w:val="00F417D6"/>
    <w:rsid w:val="00F43158"/>
    <w:rsid w:val="00F44ADD"/>
    <w:rsid w:val="00F46C28"/>
    <w:rsid w:val="00F46E13"/>
    <w:rsid w:val="00F5082A"/>
    <w:rsid w:val="00F5107C"/>
    <w:rsid w:val="00F522A8"/>
    <w:rsid w:val="00F52427"/>
    <w:rsid w:val="00F52963"/>
    <w:rsid w:val="00F5315A"/>
    <w:rsid w:val="00F53B24"/>
    <w:rsid w:val="00F563A3"/>
    <w:rsid w:val="00F61ABC"/>
    <w:rsid w:val="00F61B83"/>
    <w:rsid w:val="00F639A4"/>
    <w:rsid w:val="00F644DB"/>
    <w:rsid w:val="00F67317"/>
    <w:rsid w:val="00F70C50"/>
    <w:rsid w:val="00F74775"/>
    <w:rsid w:val="00F74FB6"/>
    <w:rsid w:val="00F7542B"/>
    <w:rsid w:val="00F76936"/>
    <w:rsid w:val="00F76A15"/>
    <w:rsid w:val="00F77846"/>
    <w:rsid w:val="00F77F65"/>
    <w:rsid w:val="00F84F7D"/>
    <w:rsid w:val="00F860BE"/>
    <w:rsid w:val="00F87280"/>
    <w:rsid w:val="00F92D16"/>
    <w:rsid w:val="00F977DE"/>
    <w:rsid w:val="00FA0C34"/>
    <w:rsid w:val="00FA41AC"/>
    <w:rsid w:val="00FB043E"/>
    <w:rsid w:val="00FB26DF"/>
    <w:rsid w:val="00FB2B67"/>
    <w:rsid w:val="00FB4169"/>
    <w:rsid w:val="00FB4736"/>
    <w:rsid w:val="00FB4D49"/>
    <w:rsid w:val="00FB68F2"/>
    <w:rsid w:val="00FB7BB3"/>
    <w:rsid w:val="00FC4440"/>
    <w:rsid w:val="00FC6CA2"/>
    <w:rsid w:val="00FD0536"/>
    <w:rsid w:val="00FD2C94"/>
    <w:rsid w:val="00FD76B6"/>
    <w:rsid w:val="00FE41BC"/>
    <w:rsid w:val="00FE4742"/>
    <w:rsid w:val="00FE551F"/>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link w:val="ListParagraphChar"/>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6053B1"/>
    <w:rPr>
      <w:rFonts w:ascii="Times New Roman" w:hAnsi="Times New Roman" w:cs="Times New Roman"/>
      <w:kern w:val="0"/>
      <w:sz w:val="22"/>
      <w:lang w:eastAsia="en-US"/>
    </w:rPr>
  </w:style>
  <w:style w:type="paragraph" w:customStyle="1" w:styleId="B2">
    <w:name w:val="B2"/>
    <w:basedOn w:val="List2"/>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List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List4"/>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List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List2">
    <w:name w:val="List 2"/>
    <w:basedOn w:val="Normal"/>
    <w:uiPriority w:val="99"/>
    <w:semiHidden/>
    <w:unhideWhenUsed/>
    <w:rsid w:val="00461D77"/>
    <w:pPr>
      <w:ind w:left="720" w:hanging="360"/>
      <w:contextualSpacing/>
    </w:pPr>
  </w:style>
  <w:style w:type="paragraph" w:styleId="List3">
    <w:name w:val="List 3"/>
    <w:basedOn w:val="Normal"/>
    <w:uiPriority w:val="99"/>
    <w:semiHidden/>
    <w:unhideWhenUsed/>
    <w:rsid w:val="00461D77"/>
    <w:pPr>
      <w:ind w:left="1080" w:hanging="360"/>
      <w:contextualSpacing/>
    </w:pPr>
  </w:style>
  <w:style w:type="paragraph" w:styleId="List4">
    <w:name w:val="List 4"/>
    <w:basedOn w:val="Normal"/>
    <w:uiPriority w:val="99"/>
    <w:semiHidden/>
    <w:unhideWhenUsed/>
    <w:rsid w:val="00461D77"/>
    <w:pPr>
      <w:ind w:left="1440" w:hanging="360"/>
      <w:contextualSpacing/>
    </w:pPr>
  </w:style>
  <w:style w:type="paragraph" w:styleId="List5">
    <w:name w:val="List 5"/>
    <w:basedOn w:val="Normal"/>
    <w:uiPriority w:val="99"/>
    <w:semiHidden/>
    <w:unhideWhenUsed/>
    <w:rsid w:val="00461D77"/>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210919">
      <w:bodyDiv w:val="1"/>
      <w:marLeft w:val="0"/>
      <w:marRight w:val="0"/>
      <w:marTop w:val="0"/>
      <w:marBottom w:val="0"/>
      <w:divBdr>
        <w:top w:val="none" w:sz="0" w:space="0" w:color="auto"/>
        <w:left w:val="none" w:sz="0" w:space="0" w:color="auto"/>
        <w:bottom w:val="none" w:sz="0" w:space="0" w:color="auto"/>
        <w:right w:val="none" w:sz="0" w:space="0" w:color="auto"/>
      </w:divBdr>
    </w:div>
    <w:div w:id="427698468">
      <w:bodyDiv w:val="1"/>
      <w:marLeft w:val="0"/>
      <w:marRight w:val="0"/>
      <w:marTop w:val="0"/>
      <w:marBottom w:val="0"/>
      <w:divBdr>
        <w:top w:val="none" w:sz="0" w:space="0" w:color="auto"/>
        <w:left w:val="none" w:sz="0" w:space="0" w:color="auto"/>
        <w:bottom w:val="none" w:sz="0" w:space="0" w:color="auto"/>
        <w:right w:val="none" w:sz="0" w:space="0" w:color="auto"/>
      </w:divBdr>
    </w:div>
    <w:div w:id="525559224">
      <w:bodyDiv w:val="1"/>
      <w:marLeft w:val="0"/>
      <w:marRight w:val="0"/>
      <w:marTop w:val="0"/>
      <w:marBottom w:val="0"/>
      <w:divBdr>
        <w:top w:val="none" w:sz="0" w:space="0" w:color="auto"/>
        <w:left w:val="none" w:sz="0" w:space="0" w:color="auto"/>
        <w:bottom w:val="none" w:sz="0" w:space="0" w:color="auto"/>
        <w:right w:val="none" w:sz="0" w:space="0" w:color="auto"/>
      </w:divBdr>
    </w:div>
    <w:div w:id="534198403">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799687110">
      <w:bodyDiv w:val="1"/>
      <w:marLeft w:val="0"/>
      <w:marRight w:val="0"/>
      <w:marTop w:val="0"/>
      <w:marBottom w:val="0"/>
      <w:divBdr>
        <w:top w:val="none" w:sz="0" w:space="0" w:color="auto"/>
        <w:left w:val="none" w:sz="0" w:space="0" w:color="auto"/>
        <w:bottom w:val="none" w:sz="0" w:space="0" w:color="auto"/>
        <w:right w:val="none" w:sz="0" w:space="0" w:color="auto"/>
      </w:divBdr>
    </w:div>
    <w:div w:id="803306566">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435514452">
      <w:bodyDiv w:val="1"/>
      <w:marLeft w:val="0"/>
      <w:marRight w:val="0"/>
      <w:marTop w:val="0"/>
      <w:marBottom w:val="0"/>
      <w:divBdr>
        <w:top w:val="none" w:sz="0" w:space="0" w:color="auto"/>
        <w:left w:val="none" w:sz="0" w:space="0" w:color="auto"/>
        <w:bottom w:val="none" w:sz="0" w:space="0" w:color="auto"/>
        <w:right w:val="none" w:sz="0" w:space="0" w:color="auto"/>
      </w:divBdr>
    </w:div>
    <w:div w:id="1768959663">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33F8B-DDD7-439E-A69F-B3B5FBC3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8990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3</cp:revision>
  <dcterms:created xsi:type="dcterms:W3CDTF">2017-05-05T12:00:00Z</dcterms:created>
  <dcterms:modified xsi:type="dcterms:W3CDTF">2017-05-05T12:01:00Z</dcterms:modified>
</cp:coreProperties>
</file>